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03" w:rsidRDefault="00C76403">
      <w:pPr>
        <w:spacing w:line="360" w:lineRule="auto"/>
        <w:jc w:val="center"/>
        <w:rPr>
          <w:rFonts w:ascii="黑体" w:eastAsia="黑体" w:hAnsi="黑体" w:cs="黑体"/>
          <w:sz w:val="32"/>
          <w:szCs w:val="32"/>
        </w:rPr>
      </w:pPr>
    </w:p>
    <w:p w:rsidR="00C76403" w:rsidRDefault="00C76403">
      <w:pPr>
        <w:spacing w:line="360" w:lineRule="auto"/>
        <w:jc w:val="center"/>
        <w:rPr>
          <w:rFonts w:ascii="黑体" w:eastAsia="黑体" w:hAnsi="黑体" w:cs="黑体"/>
          <w:sz w:val="32"/>
          <w:szCs w:val="32"/>
        </w:rPr>
      </w:pPr>
    </w:p>
    <w:p w:rsidR="00C76403" w:rsidRDefault="00FB2BB0">
      <w:pPr>
        <w:spacing w:line="360" w:lineRule="auto"/>
        <w:jc w:val="center"/>
        <w:rPr>
          <w:rFonts w:ascii="黑体" w:eastAsia="黑体" w:hAnsi="黑体" w:cs="黑体"/>
          <w:sz w:val="52"/>
          <w:szCs w:val="52"/>
        </w:rPr>
      </w:pPr>
      <w:r>
        <w:rPr>
          <w:rFonts w:ascii="黑体" w:eastAsia="黑体" w:hAnsi="黑体" w:cs="黑体" w:hint="eastAsia"/>
          <w:sz w:val="52"/>
          <w:szCs w:val="52"/>
        </w:rPr>
        <w:t>中华人民共和国供销合作行业标准</w:t>
      </w:r>
    </w:p>
    <w:p w:rsidR="00C76403" w:rsidRDefault="00C76403">
      <w:pPr>
        <w:spacing w:line="360" w:lineRule="auto"/>
        <w:jc w:val="center"/>
        <w:rPr>
          <w:rFonts w:ascii="黑体" w:eastAsia="黑体" w:hAnsi="黑体" w:cs="黑体"/>
          <w:sz w:val="32"/>
          <w:szCs w:val="32"/>
        </w:rPr>
      </w:pPr>
    </w:p>
    <w:p w:rsidR="00C76403" w:rsidRDefault="00C76403">
      <w:pPr>
        <w:spacing w:line="360" w:lineRule="auto"/>
        <w:jc w:val="center"/>
        <w:rPr>
          <w:rFonts w:ascii="黑体" w:eastAsia="黑体" w:hAnsi="黑体" w:cs="黑体"/>
          <w:sz w:val="36"/>
          <w:szCs w:val="36"/>
        </w:rPr>
      </w:pPr>
    </w:p>
    <w:p w:rsidR="00C76403" w:rsidRDefault="00C76403">
      <w:pPr>
        <w:spacing w:line="360" w:lineRule="auto"/>
        <w:jc w:val="center"/>
        <w:rPr>
          <w:rFonts w:ascii="黑体" w:eastAsia="黑体" w:hAnsi="黑体" w:cs="黑体"/>
          <w:sz w:val="36"/>
          <w:szCs w:val="36"/>
        </w:rPr>
      </w:pPr>
    </w:p>
    <w:p w:rsidR="00C76403" w:rsidRDefault="00FB2BB0">
      <w:pPr>
        <w:spacing w:line="360" w:lineRule="auto"/>
        <w:jc w:val="center"/>
        <w:rPr>
          <w:rFonts w:ascii="黑体" w:eastAsia="黑体" w:hAnsi="黑体" w:cs="黑体"/>
          <w:sz w:val="32"/>
          <w:szCs w:val="32"/>
        </w:rPr>
      </w:pPr>
      <w:r>
        <w:rPr>
          <w:rFonts w:ascii="黑体" w:eastAsia="黑体" w:hAnsi="黑体" w:cs="黑体" w:hint="eastAsia"/>
          <w:sz w:val="32"/>
          <w:szCs w:val="32"/>
        </w:rPr>
        <w:t xml:space="preserve">块 菌（松 露）鲜 品 流 通 </w:t>
      </w:r>
      <w:proofErr w:type="gramStart"/>
      <w:r>
        <w:rPr>
          <w:rFonts w:ascii="黑体" w:eastAsia="黑体" w:hAnsi="黑体" w:cs="黑体" w:hint="eastAsia"/>
          <w:sz w:val="32"/>
          <w:szCs w:val="32"/>
        </w:rPr>
        <w:t>规</w:t>
      </w:r>
      <w:proofErr w:type="gramEnd"/>
      <w:r>
        <w:rPr>
          <w:rFonts w:ascii="黑体" w:eastAsia="黑体" w:hAnsi="黑体" w:cs="黑体" w:hint="eastAsia"/>
          <w:sz w:val="32"/>
          <w:szCs w:val="32"/>
        </w:rPr>
        <w:t xml:space="preserve"> </w:t>
      </w:r>
      <w:proofErr w:type="gramStart"/>
      <w:r>
        <w:rPr>
          <w:rFonts w:ascii="黑体" w:eastAsia="黑体" w:hAnsi="黑体" w:cs="黑体" w:hint="eastAsia"/>
          <w:sz w:val="32"/>
          <w:szCs w:val="32"/>
        </w:rPr>
        <w:t>范</w:t>
      </w:r>
      <w:proofErr w:type="gramEnd"/>
    </w:p>
    <w:p w:rsidR="00C76403" w:rsidRDefault="00FB2BB0">
      <w:pPr>
        <w:spacing w:line="360" w:lineRule="auto"/>
        <w:jc w:val="center"/>
        <w:rPr>
          <w:rFonts w:ascii="黑体" w:eastAsia="黑体" w:hAnsi="黑体" w:cs="黑体"/>
          <w:sz w:val="32"/>
          <w:szCs w:val="32"/>
        </w:rPr>
      </w:pPr>
      <w:r>
        <w:rPr>
          <w:rFonts w:ascii="黑体" w:eastAsia="黑体" w:hAnsi="黑体" w:cs="黑体" w:hint="eastAsia"/>
          <w:sz w:val="32"/>
          <w:szCs w:val="32"/>
        </w:rPr>
        <w:t>编 制 说 明</w:t>
      </w:r>
    </w:p>
    <w:p w:rsidR="00C76403" w:rsidRDefault="00FB2BB0">
      <w:pPr>
        <w:spacing w:line="360" w:lineRule="auto"/>
        <w:jc w:val="center"/>
        <w:rPr>
          <w:rFonts w:ascii="仿宋" w:eastAsia="仿宋" w:hAnsi="仿宋" w:cs="黑体"/>
          <w:sz w:val="32"/>
          <w:szCs w:val="32"/>
        </w:rPr>
      </w:pPr>
      <w:r>
        <w:rPr>
          <w:rFonts w:ascii="仿宋" w:eastAsia="仿宋" w:hAnsi="仿宋" w:cs="黑体" w:hint="eastAsia"/>
          <w:sz w:val="32"/>
          <w:szCs w:val="32"/>
        </w:rPr>
        <w:t>（征求意见稿）</w:t>
      </w:r>
    </w:p>
    <w:p w:rsidR="00C76403" w:rsidRDefault="00C76403">
      <w:pPr>
        <w:spacing w:line="360" w:lineRule="auto"/>
        <w:jc w:val="center"/>
        <w:rPr>
          <w:rFonts w:ascii="黑体" w:eastAsia="黑体" w:hAnsi="黑体" w:cs="黑体"/>
          <w:sz w:val="36"/>
          <w:szCs w:val="36"/>
        </w:rPr>
      </w:pPr>
    </w:p>
    <w:p w:rsidR="00C76403" w:rsidRDefault="00C76403">
      <w:pPr>
        <w:spacing w:line="360" w:lineRule="auto"/>
        <w:jc w:val="center"/>
        <w:rPr>
          <w:rFonts w:ascii="黑体" w:eastAsia="黑体" w:hAnsi="黑体" w:cs="黑体"/>
          <w:sz w:val="36"/>
          <w:szCs w:val="36"/>
        </w:rPr>
      </w:pPr>
    </w:p>
    <w:p w:rsidR="00C76403" w:rsidRDefault="00C76403">
      <w:pPr>
        <w:spacing w:line="360" w:lineRule="auto"/>
        <w:jc w:val="center"/>
        <w:rPr>
          <w:sz w:val="30"/>
          <w:szCs w:val="30"/>
        </w:rPr>
      </w:pPr>
    </w:p>
    <w:p w:rsidR="00C76403" w:rsidRDefault="00C76403">
      <w:pPr>
        <w:spacing w:line="360" w:lineRule="auto"/>
        <w:jc w:val="center"/>
        <w:rPr>
          <w:sz w:val="30"/>
          <w:szCs w:val="30"/>
        </w:rPr>
      </w:pPr>
    </w:p>
    <w:p w:rsidR="00C76403" w:rsidRDefault="00C76403">
      <w:pPr>
        <w:spacing w:line="360" w:lineRule="auto"/>
        <w:rPr>
          <w:sz w:val="30"/>
          <w:szCs w:val="30"/>
        </w:rPr>
      </w:pPr>
    </w:p>
    <w:p w:rsidR="00C76403" w:rsidRDefault="00C76403">
      <w:pPr>
        <w:spacing w:line="360" w:lineRule="auto"/>
        <w:jc w:val="center"/>
        <w:rPr>
          <w:rFonts w:hAnsi="宋体"/>
          <w:b/>
          <w:bCs/>
          <w:sz w:val="30"/>
          <w:szCs w:val="30"/>
        </w:rPr>
      </w:pPr>
    </w:p>
    <w:p w:rsidR="00C76403" w:rsidRDefault="00C76403">
      <w:pPr>
        <w:spacing w:line="360" w:lineRule="auto"/>
        <w:jc w:val="center"/>
        <w:rPr>
          <w:rFonts w:hAnsi="宋体"/>
          <w:b/>
          <w:bCs/>
          <w:sz w:val="30"/>
          <w:szCs w:val="30"/>
        </w:rPr>
      </w:pPr>
    </w:p>
    <w:p w:rsidR="00C76403" w:rsidRDefault="00C76403">
      <w:pPr>
        <w:spacing w:line="360" w:lineRule="auto"/>
        <w:jc w:val="center"/>
        <w:rPr>
          <w:rFonts w:hAnsi="宋体"/>
          <w:b/>
          <w:bCs/>
          <w:sz w:val="30"/>
          <w:szCs w:val="30"/>
        </w:rPr>
      </w:pPr>
    </w:p>
    <w:p w:rsidR="00C76403" w:rsidRDefault="00FB2BB0">
      <w:pPr>
        <w:spacing w:line="360" w:lineRule="auto"/>
        <w:jc w:val="center"/>
        <w:rPr>
          <w:rFonts w:hAnsi="宋体"/>
          <w:b/>
          <w:bCs/>
          <w:sz w:val="30"/>
          <w:szCs w:val="30"/>
        </w:rPr>
      </w:pPr>
      <w:r>
        <w:rPr>
          <w:rFonts w:hAnsi="宋体" w:hint="eastAsia"/>
          <w:b/>
          <w:bCs/>
          <w:sz w:val="30"/>
          <w:szCs w:val="30"/>
        </w:rPr>
        <w:t>《块菌（</w:t>
      </w:r>
      <w:r>
        <w:rPr>
          <w:rFonts w:ascii="Times New Roman" w:eastAsia="宋体" w:hAnsi="宋体" w:cs="Times New Roman" w:hint="eastAsia"/>
          <w:b/>
          <w:bCs/>
          <w:sz w:val="30"/>
          <w:szCs w:val="30"/>
        </w:rPr>
        <w:t>松露</w:t>
      </w:r>
      <w:r>
        <w:rPr>
          <w:rFonts w:hAnsi="宋体" w:hint="eastAsia"/>
          <w:b/>
          <w:bCs/>
          <w:sz w:val="30"/>
          <w:szCs w:val="30"/>
        </w:rPr>
        <w:t>）</w:t>
      </w:r>
      <w:r>
        <w:rPr>
          <w:rFonts w:ascii="Times New Roman" w:eastAsia="宋体" w:hAnsi="宋体" w:cs="Times New Roman" w:hint="eastAsia"/>
          <w:b/>
          <w:bCs/>
          <w:sz w:val="30"/>
          <w:szCs w:val="30"/>
        </w:rPr>
        <w:t>鲜品流通规范</w:t>
      </w:r>
      <w:r>
        <w:rPr>
          <w:rFonts w:hAnsi="宋体" w:hint="eastAsia"/>
          <w:b/>
          <w:bCs/>
          <w:sz w:val="30"/>
          <w:szCs w:val="30"/>
        </w:rPr>
        <w:t>》标准起草组</w:t>
      </w:r>
    </w:p>
    <w:p w:rsidR="00C76403" w:rsidRDefault="00FB2BB0">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二○二三年一月</w:t>
      </w:r>
    </w:p>
    <w:p w:rsidR="00C76403" w:rsidRDefault="00C76403">
      <w:pPr>
        <w:jc w:val="center"/>
        <w:rPr>
          <w:rFonts w:eastAsia="黑体"/>
          <w:sz w:val="36"/>
          <w:szCs w:val="36"/>
        </w:rPr>
        <w:sectPr w:rsidR="00C76403">
          <w:footerReference w:type="even" r:id="rId8"/>
          <w:footerReference w:type="default" r:id="rId9"/>
          <w:pgSz w:w="11906" w:h="16838"/>
          <w:pgMar w:top="1418" w:right="1106" w:bottom="1418" w:left="1800" w:header="851" w:footer="992" w:gutter="0"/>
          <w:pgNumType w:start="0"/>
          <w:cols w:space="720"/>
          <w:docGrid w:type="lines" w:linePitch="312"/>
        </w:sectPr>
      </w:pPr>
    </w:p>
    <w:p w:rsidR="00C76403" w:rsidRDefault="00FB2BB0">
      <w:pPr>
        <w:pStyle w:val="af2"/>
        <w:ind w:firstLine="640"/>
        <w:rPr>
          <w:rFonts w:ascii="宋体" w:hAnsi="宋体"/>
          <w:b/>
          <w:sz w:val="32"/>
          <w:szCs w:val="32"/>
        </w:rPr>
      </w:pPr>
      <w:r>
        <w:rPr>
          <w:rFonts w:ascii="黑体" w:eastAsia="黑体" w:hAnsi="黑体" w:hint="eastAsia"/>
          <w:sz w:val="32"/>
          <w:szCs w:val="32"/>
        </w:rPr>
        <w:lastRenderedPageBreak/>
        <w:t>一、工作简况</w:t>
      </w:r>
    </w:p>
    <w:p w:rsidR="00C76403" w:rsidRDefault="00FB2BB0">
      <w:pPr>
        <w:pStyle w:val="af2"/>
        <w:ind w:firstLine="640"/>
        <w:rPr>
          <w:rFonts w:ascii="宋体" w:hAnsi="宋体"/>
          <w:sz w:val="32"/>
          <w:szCs w:val="32"/>
        </w:rPr>
      </w:pPr>
      <w:r>
        <w:rPr>
          <w:rFonts w:ascii="楷体_GB2312" w:eastAsia="楷体_GB2312" w:hAnsi="黑体" w:hint="eastAsia"/>
          <w:sz w:val="32"/>
          <w:szCs w:val="32"/>
        </w:rPr>
        <w:t>（一）任务来源</w:t>
      </w:r>
    </w:p>
    <w:p w:rsidR="00C76403" w:rsidRPr="00AC7865" w:rsidRDefault="00FB2BB0">
      <w:pPr>
        <w:ind w:firstLineChars="200" w:firstLine="640"/>
        <w:rPr>
          <w:rFonts w:ascii="仿宋" w:eastAsia="仿宋" w:hAnsi="仿宋"/>
          <w:sz w:val="32"/>
          <w:szCs w:val="32"/>
        </w:rPr>
      </w:pPr>
      <w:r>
        <w:rPr>
          <w:rFonts w:ascii="仿宋_GB2312" w:eastAsia="仿宋_GB2312" w:hAnsi="宋体" w:hint="eastAsia"/>
          <w:sz w:val="32"/>
          <w:szCs w:val="32"/>
        </w:rPr>
        <w:t>项目来源：</w:t>
      </w:r>
      <w:r w:rsidRPr="00AC7865">
        <w:rPr>
          <w:rFonts w:ascii="仿宋" w:eastAsia="仿宋" w:hAnsi="仿宋" w:hint="eastAsia"/>
          <w:sz w:val="32"/>
          <w:szCs w:val="32"/>
        </w:rPr>
        <w:t>《中华全国供销合作总社关于下达2018年供销合作标准化项目计划（第二批）的通知》（供销</w:t>
      </w:r>
      <w:proofErr w:type="gramStart"/>
      <w:r w:rsidRPr="00AC7865">
        <w:rPr>
          <w:rFonts w:ascii="仿宋" w:eastAsia="仿宋" w:hAnsi="仿宋" w:hint="eastAsia"/>
          <w:sz w:val="32"/>
          <w:szCs w:val="32"/>
        </w:rPr>
        <w:t>科社标字</w:t>
      </w:r>
      <w:proofErr w:type="gramEnd"/>
      <w:r w:rsidR="00AC7865" w:rsidRPr="00AC7865">
        <w:rPr>
          <w:rFonts w:ascii="仿宋" w:eastAsia="仿宋" w:hAnsi="仿宋" w:hint="eastAsia"/>
          <w:sz w:val="32"/>
          <w:szCs w:val="32"/>
        </w:rPr>
        <w:t>〔20</w:t>
      </w:r>
      <w:r w:rsidR="00AC7865">
        <w:rPr>
          <w:rFonts w:ascii="仿宋" w:eastAsia="仿宋" w:hAnsi="仿宋"/>
          <w:sz w:val="32"/>
          <w:szCs w:val="32"/>
        </w:rPr>
        <w:t>18</w:t>
      </w:r>
      <w:r w:rsidR="00AC7865" w:rsidRPr="00AC7865">
        <w:rPr>
          <w:rFonts w:ascii="仿宋" w:eastAsia="仿宋" w:hAnsi="仿宋" w:hint="eastAsia"/>
          <w:sz w:val="32"/>
          <w:szCs w:val="32"/>
        </w:rPr>
        <w:t>〕</w:t>
      </w:r>
      <w:r w:rsidRPr="00AC7865">
        <w:rPr>
          <w:rFonts w:ascii="仿宋" w:eastAsia="仿宋" w:hAnsi="仿宋" w:hint="eastAsia"/>
          <w:sz w:val="32"/>
          <w:szCs w:val="32"/>
        </w:rPr>
        <w:t>14号），计划编号：</w:t>
      </w:r>
      <w:r w:rsidRPr="00006BD8">
        <w:rPr>
          <w:rFonts w:ascii="仿宋" w:eastAsia="仿宋" w:hAnsi="仿宋" w:hint="eastAsia"/>
          <w:sz w:val="32"/>
          <w:szCs w:val="32"/>
        </w:rPr>
        <w:t>2018GH</w:t>
      </w:r>
      <w:r w:rsidRPr="00006BD8">
        <w:rPr>
          <w:rFonts w:ascii="仿宋" w:eastAsia="仿宋" w:hAnsi="仿宋"/>
          <w:sz w:val="32"/>
          <w:szCs w:val="32"/>
        </w:rPr>
        <w:t>-</w:t>
      </w:r>
      <w:r w:rsidRPr="00006BD8">
        <w:rPr>
          <w:rFonts w:ascii="仿宋" w:eastAsia="仿宋" w:hAnsi="仿宋" w:hint="eastAsia"/>
          <w:sz w:val="32"/>
          <w:szCs w:val="32"/>
        </w:rPr>
        <w:t>ZX-41 松露鲜品流通规范。</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（二）起草单位、协作单位</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起草单位：中华全国供销合作总社昆明食用菌研究所。</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协作单位：云南省食用菌产业发展研究院、</w:t>
      </w:r>
      <w:proofErr w:type="gramStart"/>
      <w:r>
        <w:rPr>
          <w:rFonts w:ascii="仿宋_GB2312" w:eastAsia="仿宋_GB2312" w:hAnsi="宋体" w:hint="eastAsia"/>
          <w:sz w:val="32"/>
          <w:szCs w:val="32"/>
        </w:rPr>
        <w:t>云南云菌科技</w:t>
      </w:r>
      <w:proofErr w:type="gramEnd"/>
      <w:r>
        <w:rPr>
          <w:rFonts w:ascii="仿宋_GB2312" w:eastAsia="仿宋_GB2312" w:hAnsi="宋体" w:hint="eastAsia"/>
          <w:sz w:val="32"/>
          <w:szCs w:val="32"/>
        </w:rPr>
        <w:t>（集团）有限公司。</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（三）主要起草过程</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1成立起草小组</w:t>
      </w:r>
    </w:p>
    <w:p w:rsidR="00C76403" w:rsidRDefault="00FB2BB0">
      <w:pPr>
        <w:ind w:firstLineChars="200" w:firstLine="640"/>
        <w:rPr>
          <w:rFonts w:ascii="仿宋_GB2312" w:eastAsia="仿宋_GB2312" w:hAnsi="黑体"/>
          <w:sz w:val="32"/>
          <w:szCs w:val="32"/>
        </w:rPr>
      </w:pPr>
      <w:r>
        <w:rPr>
          <w:rFonts w:ascii="仿宋_GB2312" w:eastAsia="仿宋_GB2312" w:hAnsi="黑体" w:hint="eastAsia"/>
          <w:sz w:val="32"/>
          <w:szCs w:val="32"/>
        </w:rPr>
        <w:t>项目成立后，由中华全国供销合作总社昆明食用菌研究所牵头，联合云南省食用菌产业发展研究院、</w:t>
      </w:r>
      <w:proofErr w:type="gramStart"/>
      <w:r>
        <w:rPr>
          <w:rFonts w:ascii="仿宋_GB2312" w:eastAsia="仿宋_GB2312" w:hAnsi="黑体" w:hint="eastAsia"/>
          <w:sz w:val="32"/>
          <w:szCs w:val="32"/>
        </w:rPr>
        <w:t>云南云菌科技</w:t>
      </w:r>
      <w:proofErr w:type="gramEnd"/>
      <w:r>
        <w:rPr>
          <w:rFonts w:ascii="仿宋_GB2312" w:eastAsia="仿宋_GB2312" w:hAnsi="黑体" w:hint="eastAsia"/>
          <w:sz w:val="32"/>
          <w:szCs w:val="32"/>
        </w:rPr>
        <w:t>（集团）有限公司等单位选派专业人员组成标准起草小组，并按标准内容制定工作计划。</w:t>
      </w:r>
    </w:p>
    <w:p w:rsidR="00C76403" w:rsidRDefault="00FB2BB0">
      <w:pPr>
        <w:ind w:firstLineChars="200" w:firstLine="640"/>
        <w:rPr>
          <w:rFonts w:ascii="仿宋_GB2312" w:eastAsia="仿宋_GB2312" w:hAnsi="黑体"/>
          <w:sz w:val="32"/>
          <w:szCs w:val="32"/>
        </w:rPr>
      </w:pPr>
      <w:r>
        <w:rPr>
          <w:rFonts w:ascii="楷体_GB2312" w:eastAsia="楷体_GB2312" w:hAnsi="黑体" w:hint="eastAsia"/>
          <w:sz w:val="32"/>
          <w:szCs w:val="32"/>
        </w:rPr>
        <w:t>2资料收集及调研</w:t>
      </w:r>
    </w:p>
    <w:p w:rsidR="00C76403" w:rsidRDefault="00FB2BB0" w:rsidP="007F22AF">
      <w:pPr>
        <w:widowControl/>
        <w:ind w:firstLineChars="200" w:firstLine="640"/>
        <w:rPr>
          <w:rFonts w:ascii="仿宋_GB2312" w:eastAsia="仿宋_GB2312" w:hAnsi="黑体"/>
          <w:sz w:val="32"/>
          <w:szCs w:val="32"/>
        </w:rPr>
      </w:pPr>
      <w:r>
        <w:rPr>
          <w:rFonts w:ascii="仿宋_GB2312" w:eastAsia="仿宋_GB2312" w:hAnsi="黑体" w:hint="eastAsia"/>
          <w:sz w:val="32"/>
          <w:szCs w:val="32"/>
        </w:rPr>
        <w:t>（1）标准查阅：经检索，我国与</w:t>
      </w:r>
      <w:r w:rsidR="00C62E29" w:rsidRPr="00C62E29">
        <w:rPr>
          <w:rFonts w:ascii="仿宋_GB2312" w:eastAsia="仿宋_GB2312" w:hAnsi="黑体" w:hint="eastAsia"/>
          <w:sz w:val="32"/>
          <w:szCs w:val="32"/>
        </w:rPr>
        <w:t>块菌（松露）</w:t>
      </w:r>
      <w:r>
        <w:rPr>
          <w:rFonts w:ascii="仿宋_GB2312" w:eastAsia="仿宋_GB2312" w:hAnsi="黑体" w:hint="eastAsia"/>
          <w:sz w:val="32"/>
          <w:szCs w:val="32"/>
        </w:rPr>
        <w:t>相关的现行标准有3项（GB/T 38697-2020 块菌（松露）鲜品质量等级规格、GB/T 39923-2021 块菌（松露）、T/STNY 007-2019 生态农业产品：会东黑松露），均为产品标准；检索到块菌的国外标准有三项（FFV-53 -2010 TRUFFLES 、</w:t>
      </w:r>
      <w:r>
        <w:rPr>
          <w:rFonts w:ascii="仿宋_GB2312" w:eastAsia="仿宋_GB2312" w:hAnsi="黑体" w:hint="eastAsia"/>
          <w:sz w:val="32"/>
          <w:szCs w:val="32"/>
        </w:rPr>
        <w:lastRenderedPageBreak/>
        <w:t xml:space="preserve">BNZ-IMP-TUBER-2011 Importation into New Zealand of specified </w:t>
      </w:r>
      <w:r>
        <w:rPr>
          <w:rFonts w:ascii="仿宋_GB2312" w:eastAsia="仿宋_GB2312" w:hAnsi="黑体"/>
          <w:sz w:val="32"/>
          <w:szCs w:val="32"/>
        </w:rPr>
        <w:t xml:space="preserve">fresh and frozen </w:t>
      </w:r>
      <w:r w:rsidRPr="00394D8B">
        <w:rPr>
          <w:rFonts w:ascii="仿宋_GB2312" w:eastAsia="仿宋_GB2312" w:hAnsi="黑体" w:hint="eastAsia"/>
          <w:i/>
          <w:sz w:val="32"/>
          <w:szCs w:val="32"/>
        </w:rPr>
        <w:t>Tuber</w:t>
      </w:r>
      <w:r>
        <w:rPr>
          <w:rFonts w:ascii="仿宋_GB2312" w:eastAsia="仿宋_GB2312" w:hAnsi="黑体"/>
          <w:sz w:val="32"/>
          <w:szCs w:val="32"/>
        </w:rPr>
        <w:t xml:space="preserve"> species (truffles)</w:t>
      </w:r>
      <w:r>
        <w:rPr>
          <w:rFonts w:ascii="仿宋_GB2312" w:eastAsia="仿宋_GB2312" w:hAnsi="黑体" w:hint="eastAsia"/>
          <w:sz w:val="32"/>
          <w:szCs w:val="32"/>
        </w:rPr>
        <w:t xml:space="preserve">、CD/K/068-2010 Fresh truffles — Specification and grading）。国内标准中的术语、等级规格本文件直接引用，国外标准FFV-53 -2010 TRUFFLES主要适用于块菌鲜品等级规格划分；NZ-IMP-TUBER-2011Importation into New Zealand of specified </w:t>
      </w:r>
      <w:r>
        <w:rPr>
          <w:rFonts w:ascii="仿宋_GB2312" w:eastAsia="仿宋_GB2312" w:hAnsi="黑体"/>
          <w:sz w:val="32"/>
          <w:szCs w:val="32"/>
        </w:rPr>
        <w:t xml:space="preserve">fresh and frozen </w:t>
      </w:r>
      <w:r w:rsidRPr="00394D8B">
        <w:rPr>
          <w:rFonts w:ascii="仿宋_GB2312" w:eastAsia="仿宋_GB2312" w:hAnsi="黑体" w:hint="eastAsia"/>
          <w:i/>
          <w:sz w:val="32"/>
          <w:szCs w:val="32"/>
        </w:rPr>
        <w:t>Tuber</w:t>
      </w:r>
      <w:r>
        <w:rPr>
          <w:rFonts w:ascii="仿宋_GB2312" w:eastAsia="仿宋_GB2312" w:hAnsi="黑体"/>
          <w:sz w:val="32"/>
          <w:szCs w:val="32"/>
        </w:rPr>
        <w:t xml:space="preserve"> species (truffles)</w:t>
      </w:r>
      <w:r>
        <w:rPr>
          <w:rFonts w:ascii="仿宋_GB2312" w:eastAsia="仿宋_GB2312" w:hAnsi="黑体" w:hint="eastAsia"/>
          <w:sz w:val="32"/>
          <w:szCs w:val="32"/>
        </w:rPr>
        <w:t>主要适用新西兰进口松露的检验检要求，CD/K/068-2010 Fresh truffles — Specification and grading主要规定了块菌鲜品等级和规格。</w:t>
      </w:r>
    </w:p>
    <w:p w:rsidR="00C76403" w:rsidRDefault="00FB2BB0">
      <w:pPr>
        <w:widowControl/>
        <w:ind w:firstLineChars="200" w:firstLine="640"/>
        <w:jc w:val="left"/>
        <w:rPr>
          <w:rFonts w:ascii="仿宋_GB2312" w:eastAsia="仿宋_GB2312" w:hAnsi="黑体"/>
          <w:sz w:val="32"/>
          <w:szCs w:val="32"/>
        </w:rPr>
      </w:pPr>
      <w:r>
        <w:rPr>
          <w:rFonts w:ascii="仿宋_GB2312" w:eastAsia="仿宋_GB2312" w:hAnsi="黑体" w:hint="eastAsia"/>
          <w:sz w:val="32"/>
          <w:szCs w:val="32"/>
        </w:rPr>
        <w:t>（2）项目组人员到松露主产区四川、云南等地调研，分别到松露主要企业了解松露鲜品保鲜、贮运等情况。结合前期所收集到的资料、试验验证确定《块菌（松露）鲜品流通规范》标准中的适用范围和技术要求。</w:t>
      </w:r>
    </w:p>
    <w:p w:rsidR="00C76403" w:rsidRDefault="00FB2BB0">
      <w:pPr>
        <w:ind w:firstLineChars="200" w:firstLine="640"/>
        <w:rPr>
          <w:rFonts w:ascii="仿宋_GB2312" w:eastAsia="仿宋_GB2312" w:hAnsi="宋体"/>
          <w:sz w:val="32"/>
          <w:szCs w:val="32"/>
        </w:rPr>
      </w:pPr>
      <w:r>
        <w:rPr>
          <w:rFonts w:ascii="楷体_GB2312" w:eastAsia="楷体_GB2312" w:hAnsi="宋体" w:hint="eastAsia"/>
          <w:sz w:val="32"/>
          <w:szCs w:val="32"/>
        </w:rPr>
        <w:t>3标准起草</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本文件按照GB/T 1.1—2020《标准化工作导则  第1部分：标准化文件的结构和起草规则》的要求，起草《块菌（</w:t>
      </w:r>
      <w:r>
        <w:rPr>
          <w:rFonts w:ascii="仿宋_GB2312" w:eastAsia="仿宋_GB2312" w:hAnsi="黑体" w:hint="eastAsia"/>
          <w:sz w:val="32"/>
          <w:szCs w:val="32"/>
        </w:rPr>
        <w:t>松露</w:t>
      </w:r>
      <w:r>
        <w:rPr>
          <w:rFonts w:ascii="仿宋_GB2312" w:eastAsia="仿宋_GB2312" w:hAnsi="宋体" w:hint="eastAsia"/>
          <w:sz w:val="32"/>
          <w:szCs w:val="32"/>
        </w:rPr>
        <w:t>）</w:t>
      </w:r>
      <w:r>
        <w:rPr>
          <w:rFonts w:ascii="仿宋_GB2312" w:eastAsia="仿宋_GB2312" w:hAnsi="黑体" w:hint="eastAsia"/>
          <w:sz w:val="32"/>
          <w:szCs w:val="32"/>
        </w:rPr>
        <w:t>鲜品流通规范</w:t>
      </w:r>
      <w:r>
        <w:rPr>
          <w:rFonts w:ascii="仿宋_GB2312" w:eastAsia="仿宋_GB2312" w:hAnsi="宋体" w:hint="eastAsia"/>
          <w:sz w:val="32"/>
          <w:szCs w:val="32"/>
        </w:rPr>
        <w:t>》，多次讨论完善标准内容后形成工作组讨论稿。</w:t>
      </w:r>
    </w:p>
    <w:p w:rsidR="00C76403" w:rsidRDefault="00FB2BB0">
      <w:pPr>
        <w:ind w:firstLineChars="200" w:firstLine="640"/>
        <w:rPr>
          <w:rFonts w:ascii="仿宋_GB2312" w:eastAsia="仿宋_GB2312" w:hAnsi="宋体"/>
          <w:sz w:val="32"/>
          <w:szCs w:val="32"/>
        </w:rPr>
      </w:pPr>
      <w:r>
        <w:rPr>
          <w:rFonts w:ascii="楷体_GB2312" w:eastAsia="楷体_GB2312" w:hAnsi="宋体" w:hint="eastAsia"/>
          <w:sz w:val="32"/>
          <w:szCs w:val="32"/>
        </w:rPr>
        <w:t>4形成征求意见稿</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2019年5月 ～ 2022年12月，标准起草组多次到松露产地、收购销售、加工企业对讨论稿进行多次讨论、修改后，</w:t>
      </w:r>
      <w:r>
        <w:rPr>
          <w:rFonts w:ascii="仿宋_GB2312" w:eastAsia="仿宋_GB2312" w:hAnsi="宋体" w:hint="eastAsia"/>
          <w:sz w:val="32"/>
          <w:szCs w:val="32"/>
        </w:rPr>
        <w:lastRenderedPageBreak/>
        <w:t>形成标准征求意见稿。</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5征求意见及送审</w:t>
      </w:r>
    </w:p>
    <w:p w:rsidR="00C76403" w:rsidRPr="00394D8B" w:rsidRDefault="00FB2BB0">
      <w:pPr>
        <w:ind w:firstLineChars="200" w:firstLine="640"/>
        <w:rPr>
          <w:rFonts w:ascii="仿宋_GB2312" w:eastAsia="仿宋_GB2312" w:hAnsi="宋体"/>
          <w:sz w:val="32"/>
          <w:szCs w:val="32"/>
        </w:rPr>
      </w:pPr>
      <w:r w:rsidRPr="00394D8B">
        <w:rPr>
          <w:rFonts w:ascii="仿宋_GB2312" w:eastAsia="仿宋_GB2312" w:hAnsi="宋体" w:hint="eastAsia"/>
          <w:sz w:val="32"/>
          <w:szCs w:val="32"/>
        </w:rPr>
        <w:t>2023年1月</w:t>
      </w:r>
      <w:r w:rsidRPr="00394D8B">
        <w:rPr>
          <w:rFonts w:ascii="宋体" w:eastAsia="宋体" w:hAnsi="宋体" w:cs="宋体" w:hint="eastAsia"/>
          <w:sz w:val="32"/>
          <w:szCs w:val="32"/>
        </w:rPr>
        <w:t>～2</w:t>
      </w:r>
      <w:r w:rsidRPr="00394D8B">
        <w:rPr>
          <w:rFonts w:ascii="仿宋_GB2312" w:eastAsia="仿宋_GB2312" w:hAnsi="宋体" w:hint="eastAsia"/>
          <w:sz w:val="32"/>
          <w:szCs w:val="32"/>
        </w:rPr>
        <w:t>月，征求意见稿发送到</w:t>
      </w:r>
      <w:r w:rsidR="00394D8B" w:rsidRPr="00394D8B">
        <w:rPr>
          <w:rFonts w:ascii="仿宋_GB2312" w:eastAsia="仿宋_GB2312" w:hAnsi="宋体" w:hint="eastAsia"/>
          <w:sz w:val="32"/>
          <w:szCs w:val="32"/>
        </w:rPr>
        <w:t>X</w:t>
      </w:r>
      <w:r w:rsidR="00394D8B" w:rsidRPr="00394D8B">
        <w:rPr>
          <w:rFonts w:ascii="仿宋_GB2312" w:eastAsia="仿宋_GB2312" w:hAnsi="宋体"/>
          <w:sz w:val="32"/>
          <w:szCs w:val="32"/>
        </w:rPr>
        <w:t>XX</w:t>
      </w:r>
      <w:r w:rsidRPr="00394D8B">
        <w:rPr>
          <w:rFonts w:ascii="仿宋_GB2312" w:eastAsia="仿宋_GB2312" w:hAnsi="宋体" w:hint="eastAsia"/>
          <w:sz w:val="32"/>
          <w:szCs w:val="32"/>
        </w:rPr>
        <w:t>、</w:t>
      </w:r>
      <w:r w:rsidR="00394D8B" w:rsidRPr="00394D8B">
        <w:rPr>
          <w:rFonts w:ascii="仿宋_GB2312" w:eastAsia="仿宋_GB2312" w:hAnsi="宋体" w:hint="eastAsia"/>
          <w:sz w:val="32"/>
          <w:szCs w:val="32"/>
        </w:rPr>
        <w:t>X</w:t>
      </w:r>
      <w:r w:rsidR="00394D8B" w:rsidRPr="00394D8B">
        <w:rPr>
          <w:rFonts w:ascii="仿宋_GB2312" w:eastAsia="仿宋_GB2312" w:hAnsi="宋体"/>
          <w:sz w:val="32"/>
          <w:szCs w:val="32"/>
        </w:rPr>
        <w:t>XX</w:t>
      </w:r>
      <w:r w:rsidRPr="00394D8B">
        <w:rPr>
          <w:rFonts w:ascii="仿宋_GB2312" w:eastAsia="仿宋_GB2312" w:hAnsi="宋体" w:hint="eastAsia"/>
          <w:sz w:val="32"/>
          <w:szCs w:val="32"/>
        </w:rPr>
        <w:t>、</w:t>
      </w:r>
      <w:r w:rsidR="00394D8B" w:rsidRPr="00394D8B">
        <w:rPr>
          <w:rFonts w:ascii="仿宋_GB2312" w:eastAsia="仿宋_GB2312" w:hAnsi="宋体" w:hint="eastAsia"/>
          <w:sz w:val="32"/>
          <w:szCs w:val="32"/>
        </w:rPr>
        <w:t>X</w:t>
      </w:r>
      <w:r w:rsidR="00394D8B" w:rsidRPr="00394D8B">
        <w:rPr>
          <w:rFonts w:ascii="仿宋_GB2312" w:eastAsia="仿宋_GB2312" w:hAnsi="宋体"/>
          <w:sz w:val="32"/>
          <w:szCs w:val="32"/>
        </w:rPr>
        <w:t>XX</w:t>
      </w:r>
      <w:r w:rsidRPr="00394D8B">
        <w:rPr>
          <w:rFonts w:ascii="仿宋_GB2312" w:eastAsia="仿宋_GB2312" w:hAnsi="宋体" w:hint="eastAsia"/>
          <w:sz w:val="32"/>
          <w:szCs w:val="32"/>
        </w:rPr>
        <w:t>、</w:t>
      </w:r>
      <w:r w:rsidR="00394D8B" w:rsidRPr="00394D8B">
        <w:rPr>
          <w:rFonts w:ascii="仿宋_GB2312" w:eastAsia="仿宋_GB2312" w:hAnsi="宋体" w:hint="eastAsia"/>
          <w:sz w:val="32"/>
          <w:szCs w:val="32"/>
        </w:rPr>
        <w:t>X</w:t>
      </w:r>
      <w:r w:rsidR="00394D8B" w:rsidRPr="00394D8B">
        <w:rPr>
          <w:rFonts w:ascii="仿宋_GB2312" w:eastAsia="仿宋_GB2312" w:hAnsi="宋体"/>
          <w:sz w:val="32"/>
          <w:szCs w:val="32"/>
        </w:rPr>
        <w:t>XX</w:t>
      </w:r>
      <w:r w:rsidRPr="00394D8B">
        <w:rPr>
          <w:rFonts w:ascii="仿宋_GB2312" w:eastAsia="仿宋_GB2312" w:hAnsi="宋体" w:hint="eastAsia"/>
          <w:sz w:val="32"/>
          <w:szCs w:val="32"/>
        </w:rPr>
        <w:t>等多家单位广泛征求意见和建议。2023年</w:t>
      </w:r>
      <w:r w:rsidR="00394D8B" w:rsidRPr="00394D8B">
        <w:rPr>
          <w:rFonts w:ascii="仿宋_GB2312" w:eastAsia="仿宋_GB2312" w:hAnsi="宋体"/>
          <w:sz w:val="32"/>
          <w:szCs w:val="32"/>
        </w:rPr>
        <w:t>X</w:t>
      </w:r>
      <w:r w:rsidRPr="00394D8B">
        <w:rPr>
          <w:rFonts w:ascii="仿宋_GB2312" w:eastAsia="仿宋_GB2312" w:hAnsi="宋体" w:hint="eastAsia"/>
          <w:sz w:val="32"/>
          <w:szCs w:val="32"/>
        </w:rPr>
        <w:t>月将征集到的反馈意见和建议汇总，讨论修改形成标准送审稿。</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6技术审查及报批</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2023年</w:t>
      </w:r>
      <w:r w:rsidR="00394D8B">
        <w:rPr>
          <w:rFonts w:ascii="仿宋_GB2312" w:eastAsia="仿宋_GB2312" w:hAnsi="宋体"/>
          <w:sz w:val="32"/>
          <w:szCs w:val="32"/>
        </w:rPr>
        <w:t>X</w:t>
      </w:r>
      <w:r>
        <w:rPr>
          <w:rFonts w:ascii="仿宋_GB2312" w:eastAsia="仿宋_GB2312" w:hAnsi="宋体" w:hint="eastAsia"/>
          <w:sz w:val="32"/>
          <w:szCs w:val="32"/>
        </w:rPr>
        <w:t>月组织召开标准技术审查会议。根据专家意见修改完善并报批。</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（四）主要起草人及所做工作</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项目成立后，中华全国供销合作总社昆明食用菌研究所牵头选派专业人员组成标准起草组（见表1），明确了标准起草组成员的分工与职责，并按标准内容制定工作计划。</w:t>
      </w:r>
    </w:p>
    <w:p w:rsidR="00C76403" w:rsidRDefault="00FB2BB0">
      <w:pPr>
        <w:spacing w:afterLines="50" w:after="156"/>
        <w:ind w:firstLineChars="200" w:firstLine="480"/>
        <w:jc w:val="center"/>
        <w:rPr>
          <w:rFonts w:ascii="仿宋_GB2312" w:eastAsia="仿宋_GB2312" w:hAnsi="黑体"/>
          <w:sz w:val="24"/>
        </w:rPr>
      </w:pPr>
      <w:r>
        <w:rPr>
          <w:rFonts w:ascii="仿宋_GB2312" w:eastAsia="仿宋_GB2312" w:hAnsi="黑体" w:hint="eastAsia"/>
          <w:sz w:val="24"/>
        </w:rPr>
        <w:t>表1 主要起草人及任务分工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2126"/>
        <w:gridCol w:w="2410"/>
        <w:gridCol w:w="3118"/>
      </w:tblGrid>
      <w:tr w:rsidR="00C76403">
        <w:trPr>
          <w:tblHeader/>
        </w:trPr>
        <w:tc>
          <w:tcPr>
            <w:tcW w:w="993" w:type="dxa"/>
          </w:tcPr>
          <w:p w:rsidR="00C76403" w:rsidRDefault="00FB2BB0">
            <w:pPr>
              <w:jc w:val="center"/>
              <w:rPr>
                <w:rFonts w:ascii="仿宋_GB2312" w:eastAsia="仿宋_GB2312" w:hAnsi="黑体"/>
                <w:b/>
                <w:sz w:val="24"/>
              </w:rPr>
            </w:pPr>
            <w:r>
              <w:rPr>
                <w:rFonts w:ascii="仿宋_GB2312" w:eastAsia="仿宋_GB2312" w:hAnsi="黑体" w:hint="eastAsia"/>
                <w:b/>
                <w:sz w:val="24"/>
              </w:rPr>
              <w:t>姓名</w:t>
            </w:r>
          </w:p>
        </w:tc>
        <w:tc>
          <w:tcPr>
            <w:tcW w:w="851" w:type="dxa"/>
          </w:tcPr>
          <w:p w:rsidR="00C76403" w:rsidRDefault="00FB2BB0">
            <w:pPr>
              <w:jc w:val="center"/>
              <w:rPr>
                <w:rFonts w:ascii="仿宋_GB2312" w:eastAsia="仿宋_GB2312" w:hAnsi="黑体"/>
                <w:b/>
                <w:sz w:val="24"/>
              </w:rPr>
            </w:pPr>
            <w:r>
              <w:rPr>
                <w:rFonts w:ascii="仿宋_GB2312" w:eastAsia="仿宋_GB2312" w:hAnsi="黑体" w:hint="eastAsia"/>
                <w:b/>
                <w:sz w:val="24"/>
              </w:rPr>
              <w:t>性别</w:t>
            </w:r>
          </w:p>
        </w:tc>
        <w:tc>
          <w:tcPr>
            <w:tcW w:w="2126" w:type="dxa"/>
          </w:tcPr>
          <w:p w:rsidR="00C76403" w:rsidRDefault="00FB2BB0">
            <w:pPr>
              <w:jc w:val="center"/>
              <w:rPr>
                <w:rFonts w:ascii="仿宋_GB2312" w:eastAsia="仿宋_GB2312" w:hAnsi="黑体"/>
                <w:b/>
                <w:sz w:val="24"/>
              </w:rPr>
            </w:pPr>
            <w:r>
              <w:rPr>
                <w:rFonts w:ascii="仿宋_GB2312" w:eastAsia="仿宋_GB2312" w:hAnsi="黑体" w:hint="eastAsia"/>
                <w:b/>
                <w:sz w:val="24"/>
              </w:rPr>
              <w:t>职务/职称</w:t>
            </w:r>
          </w:p>
        </w:tc>
        <w:tc>
          <w:tcPr>
            <w:tcW w:w="2410" w:type="dxa"/>
          </w:tcPr>
          <w:p w:rsidR="00C76403" w:rsidRDefault="00FB2BB0">
            <w:pPr>
              <w:jc w:val="center"/>
              <w:rPr>
                <w:rFonts w:ascii="仿宋_GB2312" w:eastAsia="仿宋_GB2312" w:hAnsi="黑体"/>
                <w:b/>
                <w:sz w:val="24"/>
              </w:rPr>
            </w:pPr>
            <w:r>
              <w:rPr>
                <w:rFonts w:ascii="仿宋_GB2312" w:eastAsia="仿宋_GB2312" w:hAnsi="黑体" w:hint="eastAsia"/>
                <w:b/>
                <w:sz w:val="24"/>
              </w:rPr>
              <w:t>工作单位</w:t>
            </w:r>
          </w:p>
        </w:tc>
        <w:tc>
          <w:tcPr>
            <w:tcW w:w="3118" w:type="dxa"/>
          </w:tcPr>
          <w:p w:rsidR="00C76403" w:rsidRDefault="00FB2BB0">
            <w:pPr>
              <w:jc w:val="center"/>
              <w:rPr>
                <w:rFonts w:ascii="仿宋_GB2312" w:eastAsia="仿宋_GB2312" w:hAnsi="黑体"/>
                <w:b/>
                <w:sz w:val="24"/>
              </w:rPr>
            </w:pPr>
            <w:r>
              <w:rPr>
                <w:rFonts w:ascii="仿宋_GB2312" w:eastAsia="仿宋_GB2312" w:hAnsi="黑体" w:hint="eastAsia"/>
                <w:b/>
                <w:sz w:val="24"/>
              </w:rPr>
              <w:t>任务分工</w:t>
            </w:r>
          </w:p>
        </w:tc>
      </w:tr>
      <w:tr w:rsidR="00C76403" w:rsidTr="00394D8B">
        <w:trPr>
          <w:trHeight w:val="505"/>
        </w:trPr>
        <w:tc>
          <w:tcPr>
            <w:tcW w:w="993" w:type="dxa"/>
            <w:vAlign w:val="center"/>
          </w:tcPr>
          <w:p w:rsidR="00C76403" w:rsidRDefault="00C76403">
            <w:pPr>
              <w:rPr>
                <w:rFonts w:ascii="仿宋_GB2312" w:eastAsia="仿宋_GB2312" w:hAnsi="黑体"/>
                <w:sz w:val="24"/>
              </w:rPr>
            </w:pPr>
          </w:p>
        </w:tc>
        <w:tc>
          <w:tcPr>
            <w:tcW w:w="851" w:type="dxa"/>
            <w:vAlign w:val="center"/>
          </w:tcPr>
          <w:p w:rsidR="00C76403" w:rsidRDefault="00C76403">
            <w:pPr>
              <w:jc w:val="center"/>
              <w:rPr>
                <w:rFonts w:ascii="仿宋_GB2312" w:eastAsia="仿宋_GB2312" w:hAnsi="黑体"/>
                <w:sz w:val="24"/>
              </w:rPr>
            </w:pPr>
          </w:p>
        </w:tc>
        <w:tc>
          <w:tcPr>
            <w:tcW w:w="2126" w:type="dxa"/>
            <w:vAlign w:val="center"/>
          </w:tcPr>
          <w:p w:rsidR="00C76403" w:rsidRDefault="00C76403">
            <w:pPr>
              <w:jc w:val="center"/>
              <w:rPr>
                <w:rFonts w:ascii="仿宋_GB2312" w:eastAsia="仿宋_GB2312" w:hAnsi="黑体"/>
                <w:sz w:val="24"/>
              </w:rPr>
            </w:pPr>
          </w:p>
        </w:tc>
        <w:tc>
          <w:tcPr>
            <w:tcW w:w="2410" w:type="dxa"/>
            <w:vAlign w:val="center"/>
          </w:tcPr>
          <w:p w:rsidR="00C76403" w:rsidRDefault="00C76403">
            <w:pPr>
              <w:jc w:val="center"/>
              <w:rPr>
                <w:rFonts w:ascii="仿宋_GB2312" w:eastAsia="仿宋_GB2312" w:hAnsi="黑体"/>
                <w:sz w:val="24"/>
              </w:rPr>
            </w:pPr>
          </w:p>
        </w:tc>
        <w:tc>
          <w:tcPr>
            <w:tcW w:w="3118" w:type="dxa"/>
            <w:vAlign w:val="center"/>
          </w:tcPr>
          <w:p w:rsidR="00C76403" w:rsidRDefault="00C76403">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r w:rsidR="00394D8B" w:rsidTr="00394D8B">
        <w:trPr>
          <w:trHeight w:val="554"/>
        </w:trPr>
        <w:tc>
          <w:tcPr>
            <w:tcW w:w="993" w:type="dxa"/>
            <w:vAlign w:val="center"/>
          </w:tcPr>
          <w:p w:rsidR="00394D8B" w:rsidRDefault="00394D8B">
            <w:pPr>
              <w:rPr>
                <w:rFonts w:ascii="仿宋_GB2312" w:eastAsia="仿宋_GB2312" w:hAnsi="黑体"/>
                <w:sz w:val="24"/>
              </w:rPr>
            </w:pPr>
          </w:p>
        </w:tc>
        <w:tc>
          <w:tcPr>
            <w:tcW w:w="851" w:type="dxa"/>
            <w:vAlign w:val="center"/>
          </w:tcPr>
          <w:p w:rsidR="00394D8B" w:rsidRDefault="00394D8B">
            <w:pPr>
              <w:jc w:val="center"/>
              <w:rPr>
                <w:rFonts w:ascii="仿宋_GB2312" w:eastAsia="仿宋_GB2312" w:hAnsi="黑体"/>
                <w:sz w:val="24"/>
              </w:rPr>
            </w:pPr>
          </w:p>
        </w:tc>
        <w:tc>
          <w:tcPr>
            <w:tcW w:w="2126" w:type="dxa"/>
            <w:vAlign w:val="center"/>
          </w:tcPr>
          <w:p w:rsidR="00394D8B" w:rsidRDefault="00394D8B">
            <w:pPr>
              <w:jc w:val="center"/>
              <w:rPr>
                <w:rFonts w:ascii="仿宋_GB2312" w:eastAsia="仿宋_GB2312" w:hAnsi="黑体"/>
                <w:sz w:val="24"/>
              </w:rPr>
            </w:pPr>
          </w:p>
        </w:tc>
        <w:tc>
          <w:tcPr>
            <w:tcW w:w="2410" w:type="dxa"/>
            <w:vAlign w:val="center"/>
          </w:tcPr>
          <w:p w:rsidR="00394D8B" w:rsidRDefault="00394D8B">
            <w:pPr>
              <w:jc w:val="center"/>
              <w:rPr>
                <w:rFonts w:ascii="仿宋_GB2312" w:eastAsia="仿宋_GB2312" w:hAnsi="黑体"/>
                <w:sz w:val="24"/>
              </w:rPr>
            </w:pPr>
          </w:p>
        </w:tc>
        <w:tc>
          <w:tcPr>
            <w:tcW w:w="3118" w:type="dxa"/>
            <w:vAlign w:val="center"/>
          </w:tcPr>
          <w:p w:rsidR="00394D8B" w:rsidRDefault="00394D8B">
            <w:pPr>
              <w:jc w:val="center"/>
              <w:rPr>
                <w:rFonts w:ascii="仿宋_GB2312" w:eastAsia="仿宋_GB2312" w:hAnsi="黑体"/>
                <w:sz w:val="24"/>
              </w:rPr>
            </w:pPr>
          </w:p>
        </w:tc>
      </w:tr>
    </w:tbl>
    <w:p w:rsidR="00C76403" w:rsidRDefault="00FB2BB0">
      <w:pPr>
        <w:pStyle w:val="af2"/>
        <w:ind w:firstLine="640"/>
        <w:rPr>
          <w:rFonts w:ascii="黑体" w:eastAsia="黑体" w:hAnsi="黑体"/>
          <w:sz w:val="32"/>
          <w:szCs w:val="32"/>
        </w:rPr>
      </w:pPr>
      <w:r>
        <w:rPr>
          <w:rFonts w:ascii="黑体" w:eastAsia="黑体" w:hAnsi="黑体" w:hint="eastAsia"/>
          <w:sz w:val="32"/>
          <w:szCs w:val="32"/>
        </w:rPr>
        <w:lastRenderedPageBreak/>
        <w:t>二、标准编制原则和标准主要内容</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（一）标准编制原则</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编写过程遵循科学性、一致性、协调性、可行性、规范性的原则，力求标准文本结构清楚、准确、相互协调、易于理解，具有适用性和可操作性。</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1科学性原则</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我国块菌（松露）资源丰富，贸易量较大有中华块菌/印度块菌（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indicum</w:t>
      </w:r>
      <w:proofErr w:type="spellEnd"/>
      <w:r>
        <w:rPr>
          <w:rFonts w:ascii="仿宋_GB2312" w:eastAsia="仿宋_GB2312" w:hAnsi="宋体" w:hint="eastAsia"/>
          <w:sz w:val="32"/>
          <w:szCs w:val="32"/>
        </w:rPr>
        <w:t xml:space="preserve"> Cooke ＆ </w:t>
      </w:r>
      <w:proofErr w:type="spellStart"/>
      <w:r>
        <w:rPr>
          <w:rFonts w:ascii="仿宋_GB2312" w:eastAsia="仿宋_GB2312" w:hAnsi="宋体" w:hint="eastAsia"/>
          <w:sz w:val="32"/>
          <w:szCs w:val="32"/>
        </w:rPr>
        <w:t>Massee</w:t>
      </w:r>
      <w:proofErr w:type="spellEnd"/>
      <w:r>
        <w:rPr>
          <w:rFonts w:ascii="仿宋_GB2312" w:eastAsia="仿宋_GB2312" w:hAnsi="宋体" w:hint="eastAsia"/>
          <w:sz w:val="32"/>
          <w:szCs w:val="32"/>
        </w:rPr>
        <w:t xml:space="preserve"> ），假喜马拉雅块菌（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pseudohimalayense</w:t>
      </w:r>
      <w:proofErr w:type="spellEnd"/>
      <w:r>
        <w:rPr>
          <w:rFonts w:ascii="仿宋_GB2312" w:eastAsia="仿宋_GB2312" w:hAnsi="宋体" w:hint="eastAsia"/>
          <w:sz w:val="32"/>
          <w:szCs w:val="32"/>
        </w:rPr>
        <w:t xml:space="preserve"> Moreno, </w:t>
      </w:r>
      <w:proofErr w:type="spellStart"/>
      <w:r>
        <w:rPr>
          <w:rFonts w:ascii="仿宋_GB2312" w:eastAsia="仿宋_GB2312" w:hAnsi="宋体" w:hint="eastAsia"/>
          <w:sz w:val="32"/>
          <w:szCs w:val="32"/>
        </w:rPr>
        <w:t>Manj</w:t>
      </w:r>
      <w:proofErr w:type="spellEnd"/>
      <w:r>
        <w:rPr>
          <w:rFonts w:ascii="仿宋_GB2312" w:eastAsia="仿宋_GB2312" w:hAnsi="宋体" w:hint="eastAsia"/>
          <w:sz w:val="32"/>
          <w:szCs w:val="32"/>
        </w:rPr>
        <w:t>ón, Dí</w:t>
      </w:r>
      <w:proofErr w:type="spellStart"/>
      <w:r>
        <w:rPr>
          <w:rFonts w:ascii="仿宋_GB2312" w:eastAsia="仿宋_GB2312" w:hAnsi="宋体" w:hint="eastAsia"/>
          <w:sz w:val="32"/>
          <w:szCs w:val="32"/>
        </w:rPr>
        <w:t>ez</w:t>
      </w:r>
      <w:proofErr w:type="spellEnd"/>
      <w:r>
        <w:rPr>
          <w:rFonts w:ascii="仿宋_GB2312" w:eastAsia="仿宋_GB2312" w:hAnsi="宋体" w:hint="eastAsia"/>
          <w:sz w:val="32"/>
          <w:szCs w:val="32"/>
        </w:rPr>
        <w:t xml:space="preserve"> &amp; </w:t>
      </w:r>
      <w:proofErr w:type="spellStart"/>
      <w:r>
        <w:rPr>
          <w:rFonts w:ascii="仿宋_GB2312" w:eastAsia="仿宋_GB2312" w:hAnsi="宋体" w:hint="eastAsia"/>
          <w:sz w:val="32"/>
          <w:szCs w:val="32"/>
        </w:rPr>
        <w:t>Garc</w:t>
      </w:r>
      <w:proofErr w:type="spellEnd"/>
      <w:r>
        <w:rPr>
          <w:rFonts w:ascii="仿宋_GB2312" w:eastAsia="仿宋_GB2312" w:hAnsi="宋体" w:hint="eastAsia"/>
          <w:sz w:val="32"/>
          <w:szCs w:val="32"/>
        </w:rPr>
        <w:t xml:space="preserve">ía – Montero ），中华夏块菌（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sinoaestivum</w:t>
      </w:r>
      <w:proofErr w:type="spellEnd"/>
      <w:r>
        <w:rPr>
          <w:rFonts w:ascii="仿宋_GB2312" w:eastAsia="仿宋_GB2312" w:hAnsi="宋体" w:hint="eastAsia"/>
          <w:sz w:val="32"/>
          <w:szCs w:val="32"/>
        </w:rPr>
        <w:t xml:space="preserve"> </w:t>
      </w:r>
      <w:proofErr w:type="spellStart"/>
      <w:r>
        <w:rPr>
          <w:rFonts w:ascii="仿宋_GB2312" w:eastAsia="仿宋_GB2312" w:hAnsi="宋体" w:hint="eastAsia"/>
          <w:sz w:val="32"/>
          <w:szCs w:val="32"/>
        </w:rPr>
        <w:t>J.P.Zang</w:t>
      </w:r>
      <w:proofErr w:type="spellEnd"/>
      <w:r>
        <w:rPr>
          <w:rFonts w:ascii="仿宋_GB2312" w:eastAsia="仿宋_GB2312" w:hAnsi="宋体" w:hint="eastAsia"/>
          <w:sz w:val="32"/>
          <w:szCs w:val="32"/>
        </w:rPr>
        <w:t xml:space="preserve"> ＆ </w:t>
      </w:r>
      <w:proofErr w:type="spellStart"/>
      <w:r>
        <w:rPr>
          <w:rFonts w:ascii="仿宋_GB2312" w:eastAsia="仿宋_GB2312" w:hAnsi="宋体" w:hint="eastAsia"/>
          <w:sz w:val="32"/>
          <w:szCs w:val="32"/>
        </w:rPr>
        <w:t>P.G.Liu</w:t>
      </w:r>
      <w:proofErr w:type="spellEnd"/>
      <w:r>
        <w:rPr>
          <w:rFonts w:ascii="仿宋_GB2312" w:eastAsia="仿宋_GB2312" w:hAnsi="宋体" w:hint="eastAsia"/>
          <w:sz w:val="32"/>
          <w:szCs w:val="32"/>
        </w:rPr>
        <w:t xml:space="preserve"> ），台湾块菌（</w:t>
      </w:r>
      <w:r>
        <w:rPr>
          <w:rFonts w:ascii="仿宋_GB2312" w:eastAsia="仿宋_GB2312" w:hAnsi="宋体" w:hint="eastAsia"/>
          <w:i/>
          <w:iCs/>
          <w:sz w:val="32"/>
          <w:szCs w:val="32"/>
        </w:rPr>
        <w:t xml:space="preserve"> Tuber </w:t>
      </w:r>
      <w:proofErr w:type="spellStart"/>
      <w:r>
        <w:rPr>
          <w:rFonts w:ascii="仿宋_GB2312" w:eastAsia="仿宋_GB2312" w:hAnsi="宋体" w:hint="eastAsia"/>
          <w:i/>
          <w:iCs/>
          <w:sz w:val="32"/>
          <w:szCs w:val="32"/>
        </w:rPr>
        <w:t>formosarum</w:t>
      </w:r>
      <w:proofErr w:type="spellEnd"/>
      <w:r>
        <w:rPr>
          <w:rFonts w:ascii="仿宋_GB2312" w:eastAsia="仿宋_GB2312" w:hAnsi="宋体" w:hint="eastAsia"/>
          <w:i/>
          <w:iCs/>
          <w:sz w:val="32"/>
          <w:szCs w:val="32"/>
        </w:rPr>
        <w:t xml:space="preserve"> </w:t>
      </w:r>
      <w:r>
        <w:rPr>
          <w:rFonts w:ascii="仿宋_GB2312" w:eastAsia="仿宋_GB2312" w:hAnsi="宋体" w:hint="eastAsia"/>
          <w:sz w:val="32"/>
          <w:szCs w:val="32"/>
        </w:rPr>
        <w:t>H.T. Hu &amp; Y. Wang ）。目前块菌（松露）产品主要有鲜品、速冻品、干品和少量加工品。鲜品流通过程中品质的保障至关重要，本文件充分考虑块菌（松露）保鲜贮运技术及市场情况，认真分析块菌（松露）采集时间、成熟度、保鲜技术、运输方式等因素对品质的影响，明确文件的内容，确定规范性要素，合理设置和编写文件的层次，准确表达文件的技术内容。</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2 一致性原则</w:t>
      </w:r>
    </w:p>
    <w:p w:rsidR="00C76403" w:rsidRDefault="00FB2BB0">
      <w:pPr>
        <w:ind w:firstLineChars="200" w:firstLine="640"/>
        <w:rPr>
          <w:rFonts w:ascii="仿宋_GB2312" w:eastAsia="仿宋_GB2312" w:hAnsi="黑体"/>
          <w:sz w:val="32"/>
          <w:szCs w:val="32"/>
        </w:rPr>
      </w:pPr>
      <w:r>
        <w:rPr>
          <w:rFonts w:ascii="仿宋_GB2312" w:eastAsia="仿宋_GB2312" w:hAnsi="宋体" w:hint="eastAsia"/>
          <w:sz w:val="32"/>
          <w:szCs w:val="32"/>
        </w:rPr>
        <w:t>项目组在查阅块菌（松露）标准的基础上，根据我国块菌（松露）资源优势，分析块菌（松露）鲜品流通的共性问题，根据</w:t>
      </w:r>
      <w:r>
        <w:rPr>
          <w:rFonts w:ascii="仿宋_GB2312" w:eastAsia="仿宋_GB2312" w:hAnsi="黑体" w:hint="eastAsia"/>
          <w:sz w:val="32"/>
          <w:szCs w:val="32"/>
        </w:rPr>
        <w:t>GB/T 38697-2020 块菌（松露）鲜品质量等级规格、</w:t>
      </w:r>
      <w:r>
        <w:rPr>
          <w:rFonts w:ascii="仿宋_GB2312" w:eastAsia="仿宋_GB2312" w:hAnsi="黑体" w:hint="eastAsia"/>
          <w:sz w:val="32"/>
          <w:szCs w:val="32"/>
        </w:rPr>
        <w:lastRenderedPageBreak/>
        <w:t>GB/T 39923-2021 块菌（松露）的术语描述和一致性原则，本文件将松露修改为块菌（松露）。</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3 协调性原则</w:t>
      </w:r>
    </w:p>
    <w:p w:rsidR="00C76403" w:rsidRDefault="00FB2BB0">
      <w:pPr>
        <w:pStyle w:val="CharChar"/>
        <w:ind w:firstLine="640"/>
        <w:rPr>
          <w:rFonts w:ascii="仿宋_GB2312" w:eastAsia="仿宋_GB2312" w:hAnsi="宋体"/>
          <w:sz w:val="32"/>
          <w:szCs w:val="32"/>
        </w:rPr>
      </w:pPr>
      <w:r>
        <w:rPr>
          <w:rFonts w:ascii="仿宋_GB2312" w:eastAsia="仿宋_GB2312" w:hAnsi="黑体" w:hint="eastAsia"/>
          <w:sz w:val="32"/>
          <w:szCs w:val="32"/>
        </w:rPr>
        <w:t>本文件与现行有效的文件相互协调，无重复及显著差异。块菌（松露）鲜品等级规格引用GB/T 38697-2020 块菌（松露）鲜品质量等级规格</w:t>
      </w:r>
      <w:r>
        <w:rPr>
          <w:rFonts w:ascii="仿宋_GB2312" w:eastAsia="仿宋_GB2312" w:hAnsi="宋体" w:hint="eastAsia"/>
          <w:sz w:val="32"/>
          <w:szCs w:val="32"/>
        </w:rPr>
        <w:t>。涉及的食品安全标准执行</w:t>
      </w:r>
      <w:r>
        <w:rPr>
          <w:rFonts w:ascii="仿宋_GB2312" w:eastAsia="仿宋_GB2312" w:hAnsi="黑体" w:cstheme="minorBidi" w:hint="eastAsia"/>
          <w:sz w:val="32"/>
          <w:szCs w:val="32"/>
        </w:rPr>
        <w:t>GB 2762 食品安全国家标准 食品中污染物限量、GB 2763 食品安全国家标准 食品中农药最大残留限量、GB 4806.7 食品安全国家标准 食品接触用塑料材料及制品</w:t>
      </w:r>
      <w:r>
        <w:rPr>
          <w:rFonts w:ascii="仿宋_GB2312" w:eastAsia="仿宋_GB2312" w:hAnsi="宋体" w:hint="eastAsia"/>
          <w:sz w:val="32"/>
          <w:szCs w:val="32"/>
        </w:rPr>
        <w:t>、GB 7718　食品安全国家标准　预包装食品标签通则、GB 14881　食品安全国家标准　食品生产通用卫生规范。</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4 可行性原则</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文件研制过程中，围绕我国目前常用的块菌（松露）保鲜贮运方式及保鲜贮运技术创新，通过实验验证，规范了流通过程的技术要求，具有可行性。</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5 规范性原则</w:t>
      </w:r>
    </w:p>
    <w:p w:rsidR="00C76403" w:rsidRDefault="00FB2BB0">
      <w:pPr>
        <w:pStyle w:val="af5"/>
        <w:ind w:firstLine="640"/>
        <w:rPr>
          <w:rFonts w:ascii="仿宋_GB2312" w:eastAsia="仿宋_GB2312" w:hAnsi="宋体"/>
          <w:sz w:val="32"/>
          <w:szCs w:val="32"/>
        </w:rPr>
      </w:pPr>
      <w:r>
        <w:rPr>
          <w:rFonts w:ascii="仿宋_GB2312" w:eastAsia="仿宋_GB2312" w:hAnsi="宋体" w:hint="eastAsia"/>
          <w:sz w:val="32"/>
          <w:szCs w:val="32"/>
        </w:rPr>
        <w:t>本文件按照GB/T 1.1—2020《标准化工作导则  第1部分：标准化文件的结构和起草规则》的规定起草。</w:t>
      </w:r>
    </w:p>
    <w:p w:rsidR="00C76403" w:rsidRDefault="00FB2BB0">
      <w:pPr>
        <w:ind w:firstLineChars="200" w:firstLine="640"/>
        <w:rPr>
          <w:rFonts w:ascii="仿宋_GB2312" w:eastAsia="仿宋_GB2312" w:hAnsi="宋体"/>
          <w:sz w:val="32"/>
          <w:szCs w:val="32"/>
        </w:rPr>
      </w:pPr>
      <w:r>
        <w:rPr>
          <w:rFonts w:ascii="楷体_GB2312" w:eastAsia="楷体_GB2312" w:hAnsi="黑体" w:hint="eastAsia"/>
          <w:sz w:val="32"/>
          <w:szCs w:val="32"/>
        </w:rPr>
        <w:t>（二）标准主要内容</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本文件根据块菌（松露）鲜品流通的技术要求规定了术语和定义、基本要求、等级规格、包装、标识和流通过程的要求。</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lastRenderedPageBreak/>
        <w:t>1 规范性引用文件</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根据文件的内容，有文件规定的条款，本文件直接引用，保持与其他文件的一致性和协调性。经过查阅，结合技术要求，本文件引用了GB/T 191　包装储运图示标志、GB/T 5737 食品塑料周转箱、GB/T 6543 运输包装用单瓦楞纸箱和双瓦楞纸箱、GB/T 38697-2020 块菌（松露）鲜品质量等级规格、GB/T 39923-2021 块菌（松露）、</w:t>
      </w:r>
      <w:r>
        <w:rPr>
          <w:rFonts w:ascii="仿宋_GB2312" w:eastAsia="仿宋_GB2312" w:hAnsi="宋体"/>
          <w:sz w:val="32"/>
          <w:szCs w:val="32"/>
        </w:rPr>
        <w:t>GB/T</w:t>
      </w:r>
      <w:r>
        <w:rPr>
          <w:rFonts w:ascii="仿宋_GB2312" w:eastAsia="仿宋_GB2312" w:hAnsi="宋体" w:hint="eastAsia"/>
          <w:sz w:val="32"/>
          <w:szCs w:val="32"/>
        </w:rPr>
        <w:t xml:space="preserve"> </w:t>
      </w:r>
      <w:r>
        <w:rPr>
          <w:rFonts w:ascii="仿宋_GB2312" w:eastAsia="仿宋_GB2312" w:hAnsi="宋体"/>
          <w:sz w:val="32"/>
          <w:szCs w:val="32"/>
        </w:rPr>
        <w:t>36088</w:t>
      </w:r>
      <w:r>
        <w:rPr>
          <w:rFonts w:ascii="仿宋_GB2312" w:eastAsia="仿宋_GB2312" w:hAnsi="宋体" w:hint="eastAsia"/>
          <w:sz w:val="32"/>
          <w:szCs w:val="32"/>
        </w:rPr>
        <w:t>-</w:t>
      </w:r>
      <w:r>
        <w:rPr>
          <w:rFonts w:ascii="仿宋_GB2312" w:eastAsia="仿宋_GB2312" w:hAnsi="宋体"/>
          <w:sz w:val="32"/>
          <w:szCs w:val="32"/>
        </w:rPr>
        <w:t>2018</w:t>
      </w:r>
      <w:r>
        <w:rPr>
          <w:rFonts w:ascii="仿宋_GB2312" w:eastAsia="仿宋_GB2312" w:hAnsi="宋体" w:hint="eastAsia"/>
          <w:sz w:val="32"/>
          <w:szCs w:val="32"/>
        </w:rPr>
        <w:t xml:space="preserve"> </w:t>
      </w:r>
      <w:r>
        <w:rPr>
          <w:rFonts w:ascii="仿宋_GB2312" w:eastAsia="仿宋_GB2312" w:hAnsi="宋体"/>
          <w:sz w:val="32"/>
          <w:szCs w:val="32"/>
        </w:rPr>
        <w:t>冷链物流信息管理要求</w:t>
      </w:r>
      <w:r>
        <w:rPr>
          <w:rFonts w:ascii="仿宋_GB2312" w:eastAsia="仿宋_GB2312" w:hAnsi="宋体" w:hint="eastAsia"/>
          <w:sz w:val="32"/>
          <w:szCs w:val="32"/>
        </w:rPr>
        <w:t>、食品召回管理办法（国家市场监督管理总局</w:t>
      </w:r>
      <w:r w:rsidR="009E4C76" w:rsidRPr="009E4C76">
        <w:rPr>
          <w:rFonts w:ascii="仿宋_GB2312" w:eastAsia="仿宋_GB2312" w:hAnsi="宋体" w:hint="eastAsia"/>
          <w:sz w:val="32"/>
          <w:szCs w:val="32"/>
        </w:rPr>
        <w:t>〔2020〕</w:t>
      </w:r>
      <w:r>
        <w:rPr>
          <w:rFonts w:ascii="仿宋_GB2312" w:eastAsia="仿宋_GB2312" w:hAnsi="宋体" w:hint="eastAsia"/>
          <w:sz w:val="32"/>
          <w:szCs w:val="32"/>
        </w:rPr>
        <w:t>第</w:t>
      </w:r>
      <w:r w:rsidR="009E4C76">
        <w:rPr>
          <w:rFonts w:ascii="仿宋_GB2312" w:eastAsia="仿宋_GB2312" w:hAnsi="宋体" w:hint="eastAsia"/>
          <w:sz w:val="32"/>
          <w:szCs w:val="32"/>
        </w:rPr>
        <w:t>31</w:t>
      </w:r>
      <w:r>
        <w:rPr>
          <w:rFonts w:ascii="仿宋_GB2312" w:eastAsia="仿宋_GB2312" w:hAnsi="宋体" w:hint="eastAsia"/>
          <w:sz w:val="32"/>
          <w:szCs w:val="32"/>
        </w:rPr>
        <w:t>号令）。</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2 术语和定义</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本文件列出了专业术语便于文件使用者查阅使用，已有术语标准的引用国家标准、行业标准、地方标准中的术语，如块菌（松露）</w:t>
      </w:r>
      <w:r w:rsidR="00B61FCC">
        <w:rPr>
          <w:rFonts w:ascii="仿宋_GB2312" w:eastAsia="仿宋_GB2312" w:hAnsi="宋体" w:hint="eastAsia"/>
          <w:sz w:val="32"/>
          <w:szCs w:val="32"/>
        </w:rPr>
        <w:t xml:space="preserve"> truffle</w:t>
      </w:r>
      <w:r>
        <w:rPr>
          <w:rFonts w:ascii="仿宋_GB2312" w:eastAsia="仿宋_GB2312" w:hAnsi="宋体" w:hint="eastAsia"/>
          <w:sz w:val="32"/>
          <w:szCs w:val="32"/>
        </w:rPr>
        <w:t>、子囊果</w:t>
      </w:r>
      <w:proofErr w:type="spellStart"/>
      <w:r>
        <w:rPr>
          <w:rFonts w:ascii="仿宋_GB2312" w:eastAsia="仿宋_GB2312" w:hAnsi="宋体" w:hint="eastAsia"/>
          <w:sz w:val="32"/>
          <w:szCs w:val="32"/>
        </w:rPr>
        <w:t>ascocarp</w:t>
      </w:r>
      <w:proofErr w:type="spellEnd"/>
      <w:r>
        <w:rPr>
          <w:rFonts w:ascii="仿宋_GB2312" w:eastAsia="仿宋_GB2312" w:hAnsi="宋体" w:hint="eastAsia"/>
          <w:sz w:val="32"/>
          <w:szCs w:val="32"/>
        </w:rPr>
        <w:t>、块菌（松露）鲜品 fresh truffles等。</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3 基本要求</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考虑到了以下因素：市场对块菌（松露）鲜品的需求，促进贸易的公平，通过买方和卖方建立共同的贸易准则防止贸易技术障碍。需要确保质量的运输方式运输，直到到达消费者手中。办理块菌（松露）采集证、采购及销售许可证，避免不公平的贸易行为，避免在可以获得高额利润的季节销售不成熟的产品，不成熟的块菌（松露）香气不足导致顾客不满，且对销售成熟块菌（松露）的商户不利。所以</w:t>
      </w:r>
      <w:r>
        <w:rPr>
          <w:rFonts w:ascii="仿宋_GB2312" w:eastAsia="仿宋_GB2312" w:hAnsi="宋体" w:hint="eastAsia"/>
          <w:sz w:val="32"/>
          <w:szCs w:val="32"/>
        </w:rPr>
        <w:lastRenderedPageBreak/>
        <w:t>规定“成熟块菌（松露）鲜品，未成熟块菌（松露）不应作为商品交易”。块菌（松露）具有特殊的气味，不同种类气味有所区别，如气味发生变化，子囊果中的营养物质相应发生变化，甚至不宜食用，所以规定“具有块菌（松露）鲜品应有的气味，无异味”。有霉变、腐烂、变质的鲜块菌（松露）在后续的预冷贮运期间，由于自身代谢和微生物活动会引起变质腐败，且会快速传染周围其它好的块菌（松露），导致霉变、腐败甚至变质，以致失去商品性；所以规定“无霉变、无腐烂或因变质而不合适消费的产品”。毛发、金属碎屑、玻璃美国、日本、欧盟国家等管</w:t>
      </w:r>
      <w:proofErr w:type="gramStart"/>
      <w:r>
        <w:rPr>
          <w:rFonts w:ascii="仿宋_GB2312" w:eastAsia="仿宋_GB2312" w:hAnsi="宋体" w:hint="eastAsia"/>
          <w:sz w:val="32"/>
          <w:szCs w:val="32"/>
        </w:rPr>
        <w:t>控较为</w:t>
      </w:r>
      <w:proofErr w:type="gramEnd"/>
      <w:r>
        <w:rPr>
          <w:rFonts w:ascii="仿宋_GB2312" w:eastAsia="仿宋_GB2312" w:hAnsi="宋体" w:hint="eastAsia"/>
          <w:sz w:val="32"/>
          <w:szCs w:val="32"/>
        </w:rPr>
        <w:t>严格，且误食后对人体危害较大，所以规定“无毛发、金属碎屑、玻璃”；但松露生长于地下，表面凹凸不平，</w:t>
      </w:r>
      <w:proofErr w:type="gramStart"/>
      <w:r>
        <w:rPr>
          <w:rFonts w:ascii="仿宋_GB2312" w:eastAsia="仿宋_GB2312" w:hAnsi="宋体" w:hint="eastAsia"/>
          <w:sz w:val="32"/>
          <w:szCs w:val="32"/>
        </w:rPr>
        <w:t>极</w:t>
      </w:r>
      <w:proofErr w:type="gramEnd"/>
      <w:r>
        <w:rPr>
          <w:rFonts w:ascii="仿宋_GB2312" w:eastAsia="仿宋_GB2312" w:hAnsi="宋体" w:hint="eastAsia"/>
          <w:sz w:val="32"/>
          <w:szCs w:val="32"/>
        </w:rPr>
        <w:t>难处理，就算清洗也容易在凹槽除残留部分泥土或杂草或小树枝等杂质，所以规定“其它杂质不得超过2%（重量）”。气味是块菌（松露）鲜品的灵魂，新鲜时清香宜人爱之者趋之若鹜，但保鲜期也有限，在贮运过程中呼吸、自身代谢比较旺盛易发生变质，合理的运输能降低呼吸强度及代谢速度，所以规定“产品品质应满足运输，到达目的地具有鲜品应有的良好状态”。</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 xml:space="preserve">4 采收 </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 xml:space="preserve">（1） 采收期 </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块菌（松露）作为一种珍稀野生食用菌，是近年来野生食用菌出口的重要种类，主要分布在我国云南和四川。目前</w:t>
      </w:r>
      <w:r>
        <w:rPr>
          <w:rFonts w:ascii="仿宋_GB2312" w:eastAsia="仿宋_GB2312" w:hAnsi="宋体" w:hint="eastAsia"/>
          <w:sz w:val="32"/>
          <w:szCs w:val="32"/>
        </w:rPr>
        <w:lastRenderedPageBreak/>
        <w:t>我国报道和商业贸易中的块菌（松露），在系统分类学上主要包括了块菌属（</w:t>
      </w:r>
      <w:r>
        <w:rPr>
          <w:rFonts w:ascii="仿宋_GB2312" w:eastAsia="仿宋_GB2312" w:hAnsi="宋体" w:hint="eastAsia"/>
          <w:i/>
          <w:iCs/>
          <w:sz w:val="32"/>
          <w:szCs w:val="32"/>
        </w:rPr>
        <w:t>Tuber</w:t>
      </w:r>
      <w:r>
        <w:rPr>
          <w:rFonts w:ascii="仿宋_GB2312" w:eastAsia="仿宋_GB2312" w:hAnsi="宋体" w:hint="eastAsia"/>
          <w:sz w:val="32"/>
          <w:szCs w:val="32"/>
        </w:rPr>
        <w:t xml:space="preserve">）中外包被表皮为淡色（淡白色至浅黄色）的，民间习惯上称之为白松露，以及外包被表皮为暗色（淡褐色、茶褐色、黑褐色至黑色）的称之为黑松露。目前商业贸易量大的主要是黑松露，其中贸易量最大的是中华块菌/印度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indicum</w:t>
      </w:r>
      <w:proofErr w:type="spellEnd"/>
      <w:r>
        <w:rPr>
          <w:rFonts w:ascii="仿宋_GB2312" w:eastAsia="仿宋_GB2312" w:hAnsi="宋体" w:hint="eastAsia"/>
          <w:sz w:val="32"/>
          <w:szCs w:val="32"/>
        </w:rPr>
        <w:t xml:space="preserve"> Cooke ＆ </w:t>
      </w:r>
      <w:proofErr w:type="spellStart"/>
      <w:r>
        <w:rPr>
          <w:rFonts w:ascii="仿宋_GB2312" w:eastAsia="仿宋_GB2312" w:hAnsi="宋体" w:hint="eastAsia"/>
          <w:sz w:val="32"/>
          <w:szCs w:val="32"/>
        </w:rPr>
        <w:t>Massee</w:t>
      </w:r>
      <w:proofErr w:type="spellEnd"/>
      <w:r>
        <w:rPr>
          <w:rFonts w:ascii="仿宋_GB2312" w:eastAsia="仿宋_GB2312" w:hAnsi="宋体" w:hint="eastAsia"/>
          <w:sz w:val="32"/>
          <w:szCs w:val="32"/>
        </w:rPr>
        <w:t xml:space="preserve"> ），假喜马拉雅块菌（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pseudohimalayense</w:t>
      </w:r>
      <w:proofErr w:type="spellEnd"/>
      <w:r>
        <w:rPr>
          <w:rFonts w:ascii="仿宋_GB2312" w:eastAsia="仿宋_GB2312" w:hAnsi="宋体" w:hint="eastAsia"/>
          <w:sz w:val="32"/>
          <w:szCs w:val="32"/>
        </w:rPr>
        <w:t xml:space="preserve"> Moreno, </w:t>
      </w:r>
      <w:proofErr w:type="spellStart"/>
      <w:r>
        <w:rPr>
          <w:rFonts w:ascii="仿宋_GB2312" w:eastAsia="仿宋_GB2312" w:hAnsi="宋体" w:hint="eastAsia"/>
          <w:sz w:val="32"/>
          <w:szCs w:val="32"/>
        </w:rPr>
        <w:t>Manj</w:t>
      </w:r>
      <w:proofErr w:type="spellEnd"/>
      <w:r>
        <w:rPr>
          <w:rFonts w:ascii="仿宋_GB2312" w:eastAsia="仿宋_GB2312" w:hAnsi="宋体" w:hint="eastAsia"/>
          <w:sz w:val="32"/>
          <w:szCs w:val="32"/>
        </w:rPr>
        <w:t>ón, Dí</w:t>
      </w:r>
      <w:proofErr w:type="spellStart"/>
      <w:r>
        <w:rPr>
          <w:rFonts w:ascii="仿宋_GB2312" w:eastAsia="仿宋_GB2312" w:hAnsi="宋体" w:hint="eastAsia"/>
          <w:sz w:val="32"/>
          <w:szCs w:val="32"/>
        </w:rPr>
        <w:t>ez</w:t>
      </w:r>
      <w:proofErr w:type="spellEnd"/>
      <w:r>
        <w:rPr>
          <w:rFonts w:ascii="仿宋_GB2312" w:eastAsia="仿宋_GB2312" w:hAnsi="宋体" w:hint="eastAsia"/>
          <w:sz w:val="32"/>
          <w:szCs w:val="32"/>
        </w:rPr>
        <w:t xml:space="preserve"> &amp; </w:t>
      </w:r>
      <w:proofErr w:type="spellStart"/>
      <w:r>
        <w:rPr>
          <w:rFonts w:ascii="仿宋_GB2312" w:eastAsia="仿宋_GB2312" w:hAnsi="宋体" w:hint="eastAsia"/>
          <w:sz w:val="32"/>
          <w:szCs w:val="32"/>
        </w:rPr>
        <w:t>Garc</w:t>
      </w:r>
      <w:proofErr w:type="spellEnd"/>
      <w:r>
        <w:rPr>
          <w:rFonts w:ascii="仿宋_GB2312" w:eastAsia="仿宋_GB2312" w:hAnsi="宋体" w:hint="eastAsia"/>
          <w:sz w:val="32"/>
          <w:szCs w:val="32"/>
        </w:rPr>
        <w:t xml:space="preserve">ía – Montero ）、中华夏块菌（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sinoaestivum</w:t>
      </w:r>
      <w:proofErr w:type="spellEnd"/>
      <w:r>
        <w:rPr>
          <w:rFonts w:ascii="仿宋_GB2312" w:eastAsia="仿宋_GB2312" w:hAnsi="宋体" w:hint="eastAsia"/>
          <w:sz w:val="32"/>
          <w:szCs w:val="32"/>
        </w:rPr>
        <w:t xml:space="preserve"> </w:t>
      </w:r>
      <w:proofErr w:type="spellStart"/>
      <w:r>
        <w:rPr>
          <w:rFonts w:ascii="仿宋_GB2312" w:eastAsia="仿宋_GB2312" w:hAnsi="宋体" w:hint="eastAsia"/>
          <w:sz w:val="32"/>
          <w:szCs w:val="32"/>
        </w:rPr>
        <w:t>J.P.Zang</w:t>
      </w:r>
      <w:proofErr w:type="spellEnd"/>
      <w:r>
        <w:rPr>
          <w:rFonts w:ascii="仿宋_GB2312" w:eastAsia="仿宋_GB2312" w:hAnsi="宋体" w:hint="eastAsia"/>
          <w:sz w:val="32"/>
          <w:szCs w:val="32"/>
        </w:rPr>
        <w:t xml:space="preserve"> ＆ </w:t>
      </w:r>
      <w:proofErr w:type="spellStart"/>
      <w:r>
        <w:rPr>
          <w:rFonts w:ascii="仿宋_GB2312" w:eastAsia="仿宋_GB2312" w:hAnsi="宋体" w:hint="eastAsia"/>
          <w:sz w:val="32"/>
          <w:szCs w:val="32"/>
        </w:rPr>
        <w:t>P.G.Liu</w:t>
      </w:r>
      <w:proofErr w:type="spellEnd"/>
      <w:r>
        <w:rPr>
          <w:rFonts w:ascii="仿宋_GB2312" w:eastAsia="仿宋_GB2312" w:hAnsi="宋体" w:hint="eastAsia"/>
          <w:sz w:val="32"/>
          <w:szCs w:val="32"/>
        </w:rPr>
        <w:t xml:space="preserve"> ）、台湾块菌（ </w:t>
      </w:r>
      <w:r>
        <w:rPr>
          <w:rFonts w:ascii="仿宋_GB2312" w:eastAsia="仿宋_GB2312" w:hAnsi="宋体" w:hint="eastAsia"/>
          <w:i/>
          <w:iCs/>
          <w:sz w:val="32"/>
          <w:szCs w:val="32"/>
        </w:rPr>
        <w:t xml:space="preserve">Tuber </w:t>
      </w:r>
      <w:proofErr w:type="spellStart"/>
      <w:r>
        <w:rPr>
          <w:rFonts w:ascii="仿宋_GB2312" w:eastAsia="仿宋_GB2312" w:hAnsi="宋体" w:hint="eastAsia"/>
          <w:i/>
          <w:iCs/>
          <w:sz w:val="32"/>
          <w:szCs w:val="32"/>
        </w:rPr>
        <w:t>formosarum</w:t>
      </w:r>
      <w:proofErr w:type="spellEnd"/>
      <w:r>
        <w:rPr>
          <w:rFonts w:ascii="仿宋_GB2312" w:eastAsia="仿宋_GB2312" w:hAnsi="宋体" w:hint="eastAsia"/>
          <w:sz w:val="32"/>
          <w:szCs w:val="32"/>
        </w:rPr>
        <w:t xml:space="preserve"> H.T. Hu &amp; Y. Wang ）目前有一定贸易量。白松露种类繁多，市场有少量贸易，本文件涉及黑松露的几个种。由于块菌（松露）的高经济价值，块菌（松露）采集者过早采挖和地毯式盲目采挖使松露赖以生存的森林地被及生态系统遭到严重的破坏，地下菌丝及菌根暴晒在紫外线照射和干燥的空气中，数量逐渐减少乃至消失，其自然产量急剧下降。因此科学的野外采集，要根据不同的块菌（松露）的成熟期选择和确定采集时间，正常年份每年的9月</w:t>
      </w:r>
      <w:r>
        <w:rPr>
          <w:rFonts w:ascii="宋体" w:eastAsia="宋体" w:hAnsi="宋体" w:cs="宋体" w:hint="eastAsia"/>
          <w:sz w:val="32"/>
          <w:szCs w:val="32"/>
        </w:rPr>
        <w:t>～</w:t>
      </w:r>
      <w:r>
        <w:rPr>
          <w:rFonts w:ascii="仿宋_GB2312" w:eastAsia="仿宋_GB2312" w:hAnsi="宋体" w:hint="eastAsia"/>
          <w:sz w:val="32"/>
          <w:szCs w:val="32"/>
        </w:rPr>
        <w:t>11月是夏块菌的成熟采集季节，台湾块菌成熟期在</w:t>
      </w:r>
      <w:r w:rsidRPr="004947E4">
        <w:rPr>
          <w:rFonts w:ascii="仿宋_GB2312" w:eastAsia="仿宋_GB2312" w:hAnsi="宋体" w:hint="eastAsia"/>
          <w:sz w:val="32"/>
          <w:szCs w:val="32"/>
        </w:rPr>
        <w:t>1</w:t>
      </w:r>
      <w:r w:rsidR="004947E4" w:rsidRPr="004947E4">
        <w:rPr>
          <w:rFonts w:ascii="仿宋_GB2312" w:eastAsia="仿宋_GB2312" w:hAnsi="宋体"/>
          <w:sz w:val="32"/>
          <w:szCs w:val="32"/>
        </w:rPr>
        <w:t>1</w:t>
      </w:r>
      <w:r w:rsidRPr="004947E4">
        <w:rPr>
          <w:rFonts w:ascii="仿宋_GB2312" w:eastAsia="仿宋_GB2312" w:hAnsi="宋体" w:hint="eastAsia"/>
          <w:sz w:val="32"/>
          <w:szCs w:val="32"/>
        </w:rPr>
        <w:t>月</w:t>
      </w:r>
      <w:r w:rsidRPr="004947E4">
        <w:rPr>
          <w:rFonts w:ascii="宋体" w:eastAsia="宋体" w:hAnsi="宋体" w:cs="宋体" w:hint="eastAsia"/>
          <w:sz w:val="32"/>
          <w:szCs w:val="32"/>
        </w:rPr>
        <w:t>～</w:t>
      </w:r>
      <w:r w:rsidRPr="004947E4">
        <w:rPr>
          <w:rFonts w:ascii="仿宋_GB2312" w:eastAsia="仿宋_GB2312" w:hAnsi="宋体" w:hint="eastAsia"/>
          <w:sz w:val="32"/>
          <w:szCs w:val="32"/>
        </w:rPr>
        <w:t>翌年2</w:t>
      </w:r>
      <w:r>
        <w:rPr>
          <w:rFonts w:ascii="仿宋_GB2312" w:eastAsia="仿宋_GB2312" w:hAnsi="宋体" w:hint="eastAsia"/>
          <w:sz w:val="32"/>
          <w:szCs w:val="32"/>
        </w:rPr>
        <w:t>月，假喜马拉雅块菌成熟期在11月</w:t>
      </w:r>
      <w:r>
        <w:rPr>
          <w:rFonts w:ascii="宋体" w:eastAsia="宋体" w:hAnsi="宋体" w:cs="宋体" w:hint="eastAsia"/>
          <w:sz w:val="32"/>
          <w:szCs w:val="32"/>
        </w:rPr>
        <w:t>～</w:t>
      </w:r>
      <w:r>
        <w:rPr>
          <w:rFonts w:ascii="仿宋_GB2312" w:eastAsia="仿宋_GB2312" w:hAnsi="宋体" w:hint="eastAsia"/>
          <w:sz w:val="32"/>
          <w:szCs w:val="32"/>
        </w:rPr>
        <w:t>翌年2月，中华块菌/印度块菌成熟期一般在11月</w:t>
      </w:r>
      <w:r>
        <w:rPr>
          <w:rFonts w:ascii="宋体" w:eastAsia="宋体" w:hAnsi="宋体" w:cs="宋体" w:hint="eastAsia"/>
          <w:sz w:val="32"/>
          <w:szCs w:val="32"/>
        </w:rPr>
        <w:t>～</w:t>
      </w:r>
      <w:r>
        <w:rPr>
          <w:rFonts w:ascii="仿宋_GB2312" w:eastAsia="仿宋_GB2312" w:hAnsi="宋体" w:hint="eastAsia"/>
          <w:sz w:val="32"/>
          <w:szCs w:val="32"/>
        </w:rPr>
        <w:t>翌年2月。</w:t>
      </w:r>
    </w:p>
    <w:p w:rsidR="00C76403" w:rsidRDefault="00FB2BB0">
      <w:pPr>
        <w:ind w:firstLineChars="200" w:firstLine="640"/>
        <w:rPr>
          <w:rFonts w:ascii="仿宋_GB2312" w:eastAsia="仿宋_GB2312" w:hAnsi="宋体"/>
          <w:sz w:val="32"/>
          <w:szCs w:val="32"/>
        </w:rPr>
      </w:pPr>
      <w:r>
        <w:rPr>
          <w:rFonts w:ascii="楷体_GB2312" w:eastAsia="楷体_GB2312" w:hAnsi="宋体" w:hint="eastAsia"/>
          <w:sz w:val="32"/>
          <w:szCs w:val="32"/>
        </w:rPr>
        <w:t>（2）采收标准</w:t>
      </w:r>
      <w:r>
        <w:rPr>
          <w:rFonts w:ascii="仿宋_GB2312" w:eastAsia="仿宋_GB2312" w:hAnsi="宋体" w:hint="eastAsia"/>
          <w:sz w:val="32"/>
          <w:szCs w:val="32"/>
        </w:rPr>
        <w:t xml:space="preserve"> </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不同成熟度的块菌（松露）保鲜损耗有较大差异，不成</w:t>
      </w:r>
      <w:r>
        <w:rPr>
          <w:rFonts w:ascii="仿宋_GB2312" w:eastAsia="仿宋_GB2312" w:hAnsi="宋体" w:hint="eastAsia"/>
          <w:sz w:val="32"/>
          <w:szCs w:val="32"/>
        </w:rPr>
        <w:lastRenderedPageBreak/>
        <w:t>熟的块菌（松露）含水率较高，保鲜时呼吸作用强，代谢快，容易被杂菌感染导致霉变，保鲜期短，贮存损耗较大，成熟块菌（松露）含水率较低，组织较硬，呼吸作用较弱，代谢慢，不容易被杂菌感染，成熟度85%以上（表皮）的块菌（松露）保鲜期较长，贮存损耗较小。成熟度越高香气成分种类越多，香气越足，成熟度可根据外观判断，比如黑松露表皮黑褐色至黑色，切面茶褐色至黑色，花纹清晰的成熟度较高，可作为松露的采收标准。</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 xml:space="preserve">5 预处理 </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选取同种块菌（松露），在避免损伤子囊果的条件下清除子囊果表面泥土，剔除霉变、腐烂、软化、发黏、机械损伤子囊果后，将块菌（松露）小心装入</w:t>
      </w:r>
      <w:proofErr w:type="gramStart"/>
      <w:r>
        <w:rPr>
          <w:rFonts w:ascii="仿宋_GB2312" w:eastAsia="仿宋_GB2312" w:hAnsi="宋体" w:hint="eastAsia"/>
          <w:sz w:val="32"/>
          <w:szCs w:val="32"/>
        </w:rPr>
        <w:t>周转筐后运往</w:t>
      </w:r>
      <w:proofErr w:type="gramEnd"/>
      <w:r>
        <w:rPr>
          <w:rFonts w:ascii="仿宋_GB2312" w:eastAsia="仿宋_GB2312" w:hAnsi="宋体" w:hint="eastAsia"/>
          <w:sz w:val="32"/>
          <w:szCs w:val="32"/>
        </w:rPr>
        <w:t>预处理室。周转箱装量控制在周转筐的1/2</w:t>
      </w:r>
      <w:r>
        <w:rPr>
          <w:rFonts w:ascii="宋体" w:eastAsia="宋体" w:hAnsi="宋体" w:cs="宋体" w:hint="eastAsia"/>
          <w:sz w:val="32"/>
          <w:szCs w:val="32"/>
        </w:rPr>
        <w:t>～</w:t>
      </w:r>
      <w:r>
        <w:rPr>
          <w:rFonts w:ascii="仿宋_GB2312" w:eastAsia="仿宋_GB2312" w:hAnsi="宋体" w:hint="eastAsia"/>
          <w:sz w:val="32"/>
          <w:szCs w:val="32"/>
        </w:rPr>
        <w:t>2/3，装量少于1/2霉变少但易失水且浪费空间，装量大于2/3，失水少，但霉变损耗增加。</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 xml:space="preserve">6 等级规格 </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在预处理室，将块菌（松露）鲜品分为一级、二级和三级，根据块菌（松露）鲜品子囊果最大直径和子囊果重量划分为大、中、小三种规格。</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7 预冷</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块菌（松露）根据不同等级规格，装入周转筐中，迅速</w:t>
      </w:r>
      <w:r>
        <w:rPr>
          <w:rFonts w:ascii="仿宋_GB2312" w:eastAsia="仿宋_GB2312" w:hAnsi="宋体"/>
          <w:sz w:val="32"/>
          <w:szCs w:val="32"/>
        </w:rPr>
        <w:t>移入</w:t>
      </w:r>
      <w:r>
        <w:rPr>
          <w:rFonts w:ascii="仿宋_GB2312" w:eastAsia="仿宋_GB2312" w:hAnsi="宋体" w:hint="eastAsia"/>
          <w:sz w:val="32"/>
          <w:szCs w:val="32"/>
        </w:rPr>
        <w:t>预冷库。入库前，清除库内杂物，可使用二氯异氰尿酸</w:t>
      </w:r>
      <w:r>
        <w:rPr>
          <w:rFonts w:ascii="仿宋_GB2312" w:eastAsia="仿宋_GB2312" w:hAnsi="宋体" w:hint="eastAsia"/>
          <w:sz w:val="32"/>
          <w:szCs w:val="32"/>
        </w:rPr>
        <w:lastRenderedPageBreak/>
        <w:t>钠（优氯净，有效氯50 mg/L</w:t>
      </w:r>
      <w:r>
        <w:rPr>
          <w:rFonts w:ascii="宋体" w:eastAsia="宋体" w:hAnsi="宋体" w:cs="宋体" w:hint="eastAsia"/>
          <w:sz w:val="32"/>
          <w:szCs w:val="32"/>
        </w:rPr>
        <w:t>～</w:t>
      </w:r>
      <w:r>
        <w:rPr>
          <w:rFonts w:ascii="仿宋_GB2312" w:eastAsia="仿宋_GB2312" w:hAnsi="宋体" w:hint="eastAsia"/>
          <w:sz w:val="32"/>
          <w:szCs w:val="32"/>
        </w:rPr>
        <w:t>150 mg/L）或二氧化氯（100 mg/L</w:t>
      </w:r>
      <w:r>
        <w:rPr>
          <w:rFonts w:ascii="宋体" w:eastAsia="宋体" w:hAnsi="宋体" w:cs="宋体" w:hint="eastAsia"/>
          <w:sz w:val="32"/>
          <w:szCs w:val="32"/>
        </w:rPr>
        <w:t>～</w:t>
      </w:r>
      <w:r>
        <w:rPr>
          <w:rFonts w:ascii="仿宋_GB2312" w:eastAsia="仿宋_GB2312" w:hAnsi="宋体" w:hint="eastAsia"/>
          <w:sz w:val="32"/>
          <w:szCs w:val="32"/>
        </w:rPr>
        <w:t>500 mg/L），现用现配，采取喷洒、擦拭方式，作用30 min～60 min,提前将库房温度降至入0℃～5℃。分批入库，每批入库量不宜超过库容量的30%（入库量过大，降温时间耗时长，码垛中心的子囊果降温过慢），温度稳定后再入下一批。可采用码垛或货架堆放，码垛或货架间的间隔不小于50 cm，离地不小于10 cm，离墙体不小于30 cm，利于冷空气循环及通行。</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8 入库</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块菌（松露）中心温度预冷至3℃～5℃后，移入温度0℃～5℃，空气相对湿度80%～85%的清洁保鲜库贮藏，温度低于-1℃易发生冻害，温度高于5℃保鲜期缩短，空气相对湿度低，块菌（松露）易失水，空气相对湿度高导致块菌（松露）腐烂率增加。贮藏堆码应稳固、整齐、适量，储存量不超过保鲜库的三分之二，通风距离不小于50 cm，保持库内冷气循环良好。贮藏期间定期抽查，观察块菌（松露）有无冻害、失水和腐烂等情况，发现问题及时处理。周转筐/</w:t>
      </w:r>
      <w:proofErr w:type="gramStart"/>
      <w:r>
        <w:rPr>
          <w:rFonts w:ascii="仿宋_GB2312" w:eastAsia="仿宋_GB2312" w:hAnsi="宋体" w:hint="eastAsia"/>
          <w:sz w:val="32"/>
          <w:szCs w:val="32"/>
        </w:rPr>
        <w:t>箱须标明</w:t>
      </w:r>
      <w:proofErr w:type="gramEnd"/>
      <w:r>
        <w:rPr>
          <w:rFonts w:ascii="仿宋_GB2312" w:eastAsia="仿宋_GB2312" w:hAnsi="宋体" w:hint="eastAsia"/>
          <w:sz w:val="32"/>
          <w:szCs w:val="32"/>
        </w:rPr>
        <w:t xml:space="preserve">“名称”“等级”“规格”“产地”“重量”“批次”等必要信息。 </w:t>
      </w:r>
    </w:p>
    <w:p w:rsidR="00C76403" w:rsidRDefault="00FB2BB0">
      <w:pPr>
        <w:ind w:firstLineChars="200" w:firstLine="640"/>
        <w:rPr>
          <w:rFonts w:ascii="仿宋_GB2312" w:eastAsia="仿宋_GB2312" w:hAnsi="宋体"/>
          <w:sz w:val="32"/>
          <w:szCs w:val="32"/>
        </w:rPr>
      </w:pPr>
      <w:r>
        <w:rPr>
          <w:rFonts w:ascii="楷体_GB2312" w:eastAsia="楷体_GB2312" w:hAnsi="宋体" w:hint="eastAsia"/>
          <w:sz w:val="32"/>
          <w:szCs w:val="32"/>
        </w:rPr>
        <w:t>9 出库</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出库前，应对块菌（松露）进行检验，去除霉变、腐烂、软化、发黏的块菌（松露）。包装后进入销售环节。 </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lastRenderedPageBreak/>
        <w:t>10 包装</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宜在0℃～5℃，空气相对湿度80%～85%的干净库房包装，包装材料应清洁、干燥、牢固、无毒、无污染、无异味、无虫蛀、无霉烂，具有良好的机械性、保鲜性、透过性、耐水性、耐温性、抗压性，不应对环境造成污染。塑料包装材料宜选用聚乙烯（PE）、聚苯乙烯（PS）等，聚乙烯（PE）应符合GB/T 11115的规定，聚苯乙烯（PS）应符合GB/T 12671的规定。纸包装材料宜选用瓦楞纸板，不应采用回收纸或废旧纸作原料，不应添加荧光增白剂。瓦楞纸板应符合GB/T 6544的规定。外包装材料宜选用塑料周转箱、聚苯乙烯包装箱或瓦楞纸箱。塑料周转箱应符合GB/T 5737的规定，聚苯乙烯包装箱应符合GB 4806.7的规定，瓦楞纸箱应符合GB/T 6543的规定。内包装材料宜选用透气保鲜袋、帆布袋、网袋、纸袋或其他不影响块菌（松露）质量的材质。客户对包装有特殊要求时，按合同进行包装，但包装材料不应对块菌（松露）的食用安全性和环境保护有任何影响。包装规格由包装容器的类型和大小确定。单个包装件的重量根据搬运和操作方式而定。客户对包装规格有特殊要求时，按合同进行包装。包装方法，块菌（松露）预冷后，不同等级规格块菌（松露）分开包装。根据包装箱大小，将预冷处理好的松露整齐摆放，不应挤压，摆放层数不宜过多。同一包装内的种类、产地、等级、规格应一致，包装内产品的可视部分应具有整个包装</w:t>
      </w:r>
      <w:r>
        <w:rPr>
          <w:rFonts w:ascii="仿宋_GB2312" w:eastAsia="仿宋_GB2312" w:hAnsi="宋体" w:hint="eastAsia"/>
          <w:sz w:val="32"/>
          <w:szCs w:val="32"/>
        </w:rPr>
        <w:lastRenderedPageBreak/>
        <w:t>产品的代表性。</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11标识</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标识应字迹清晰、持久、易于辨认和识读，标签所用材质、浇水、墨水等应无毒、无害，不影响块菌（松露）的质量和安全。块菌（松露）名称应清晰标示反映产品真实属性的专用名称。产地按照行政区划标注到县级市区域。应按年、月、日的顺序表明采收时间。标明块菌（松露）的贮藏条件及保质期。标明等级和规格。净含量标注应符合《定量包装商品计量监督管理办法》，运输包装图示标志应符合GB/T 191的规定。</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12 流通过程的要求</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（1）产地采购</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采购方宜与松露提供方建立稳定的联系，宜采用订单采购的方式。采购方应向松露提供方索要产地证明、产品质量检验合格证明或采集证、收购销售许可证等备案材料.产地证明应至少包含产地、数量、采收日期等内容。产地集中配送中心应设收货区、分拣区、预冷区、贮存区、出库区；应设预冷、贮存、保鲜处理设施设备。采购方应做好进货记录，记录每批松露的提供方、进货时间、数量、等级、产地、采收日期和质量状况等信息。采购的块菌（松露）宜及时运走，不能及时运走的应在0℃ ～ 5℃，空气相对湿度不小于80%的湿度件下暂存。运输工具应清洁、卫生、无污物、无杂物，</w:t>
      </w:r>
      <w:r>
        <w:rPr>
          <w:rFonts w:ascii="仿宋_GB2312" w:eastAsia="仿宋_GB2312" w:hAnsi="宋体" w:hint="eastAsia"/>
          <w:sz w:val="32"/>
          <w:szCs w:val="32"/>
        </w:rPr>
        <w:lastRenderedPageBreak/>
        <w:t>具有防晒、防雨、通风。可采用保温车、冷藏车等低温运输。可采用常温装载时应摆放稳固、整齐；装卸载时应轻拿轻放，防止机械损伤。运输过程应保证空气流通，保持温度 0℃ ～ 5℃，空气相对湿度 80%～85%。不得与有毒有害气味浓郁的物质混运。应做到物、证相符，保留相关票据备案。贮存，临时贮藏场所应阴凉、通风、清洁、卫生。贮存时应分种类、分批次、分等级规格堆放。码放整齐，层数不宜过多，便于通风，控制适宜的温度、湿度。应设收货区、分拣区、预冷区、贮存区、出库区；应设预冷、贮存、保鲜处理设施设备。</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（2）批发</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批发商应按照国家有关规定建立</w:t>
      </w:r>
      <w:proofErr w:type="gramStart"/>
      <w:r>
        <w:rPr>
          <w:rFonts w:ascii="仿宋_GB2312" w:eastAsia="仿宋_GB2312" w:hAnsi="宋体" w:hint="eastAsia"/>
          <w:sz w:val="32"/>
          <w:szCs w:val="32"/>
        </w:rPr>
        <w:t>购销台</w:t>
      </w:r>
      <w:proofErr w:type="gramEnd"/>
      <w:r>
        <w:rPr>
          <w:rFonts w:ascii="仿宋_GB2312" w:eastAsia="仿宋_GB2312" w:hAnsi="宋体" w:hint="eastAsia"/>
          <w:sz w:val="32"/>
          <w:szCs w:val="32"/>
        </w:rPr>
        <w:t>账，如实记录供货方、块菌（松露）名称、长度、等级、进货时间、销售时间、价格、数量、交易双方的姓名及联系方式等内容。采用电子交易系统的批发市场，购销双方应根据系统要求做好信息的预先录入和登记工作，电子交易系统管理方应做好交易数据的定时备份和系统维护工作。批发商应向采购方提供产地证明、质量检验合格证明和购销凭证，购销凭证应包含：批发商姓名、采购方姓名、名称、产地、等级、成交量、成交价格、成交时间等。对于包装损坏的，应查明原因，确认无食用安全危害时，才能上市销售；发现异味、变质时，应及时处理。宜设有分拣、包装、冷藏区，冷藏温度 0℃ ～ 5℃，空气相对湿度 80%～85%。批发商和电子交易系统管理方应</w:t>
      </w:r>
      <w:r>
        <w:rPr>
          <w:rFonts w:ascii="仿宋_GB2312" w:eastAsia="仿宋_GB2312" w:hAnsi="宋体" w:hint="eastAsia"/>
          <w:sz w:val="32"/>
          <w:szCs w:val="32"/>
        </w:rPr>
        <w:lastRenderedPageBreak/>
        <w:t>对整个购销过程的（产地证明、检测报告、购销凭证等）证明及记录文件（包括备份的电子交易数据）妥善保存和管理，文件至少保存 2 年，为块菌（松露）质量安全追溯制度的建立提供保证。</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（3）零售</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应有固定经营场地，配备满足块菌（松露）鲜品储存要求的陈列货架和冷库，温度0℃ ～ 5℃，空气湿度 80%～85%。零售包装应有透气孔，标注经营场地名称、种类名称、包装日期、等级、重量、价格、产地、保质期等内容。散装销售时，应摆放整齐，方便挑选，并防止过度挤压；在常温下宜少量摆放，可随时补货。销售过程中发现异味、变质时，应及时处理。</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（4）货品验收</w:t>
      </w:r>
    </w:p>
    <w:p w:rsidR="00C76403" w:rsidRDefault="00FB2BB0">
      <w:pPr>
        <w:pStyle w:val="af5"/>
        <w:ind w:firstLine="640"/>
        <w:rPr>
          <w:rFonts w:ascii="仿宋_GB2312" w:eastAsia="仿宋_GB2312" w:hAnsi="宋体"/>
          <w:sz w:val="32"/>
          <w:szCs w:val="32"/>
        </w:rPr>
      </w:pPr>
      <w:r>
        <w:rPr>
          <w:rFonts w:ascii="仿宋_GB2312" w:eastAsia="仿宋_GB2312" w:hAnsi="宋体" w:hint="eastAsia"/>
          <w:sz w:val="32"/>
          <w:szCs w:val="32"/>
        </w:rPr>
        <w:t>验收人员应查看产品的产地、采购商、供货商、生产日期、保质期、贮藏条件、货品内外包装情况及储存地卫生状况，购销双方签字确认。遇公共卫生事件时，外包装、交接用具等应清洁和消毒。</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t>（5）人员</w:t>
      </w:r>
    </w:p>
    <w:p w:rsidR="00C76403" w:rsidRDefault="00FB2BB0">
      <w:pPr>
        <w:pStyle w:val="af5"/>
        <w:ind w:firstLine="640"/>
        <w:rPr>
          <w:rFonts w:ascii="仿宋_GB2312" w:eastAsia="仿宋_GB2312" w:hAnsi="宋体"/>
          <w:sz w:val="32"/>
          <w:szCs w:val="32"/>
        </w:rPr>
      </w:pPr>
      <w:r>
        <w:rPr>
          <w:rFonts w:ascii="仿宋_GB2312" w:eastAsia="仿宋_GB2312" w:hAnsi="宋体" w:hint="eastAsia"/>
          <w:sz w:val="32"/>
          <w:szCs w:val="32"/>
        </w:rPr>
        <w:t>从事块菌（松露）鲜品流通各环节的人员，应接受生鲜农产品仓储、运输、加工、检验及为公共卫生突发事件应急处理等相关知识和技能培训，且具备相应能力；加强人员健康管理，定期进行卫生健康体检。</w:t>
      </w:r>
    </w:p>
    <w:p w:rsidR="00C76403" w:rsidRDefault="00FB2BB0">
      <w:pPr>
        <w:ind w:firstLineChars="200" w:firstLine="640"/>
        <w:rPr>
          <w:rFonts w:ascii="楷体_GB2312" w:eastAsia="楷体_GB2312" w:hAnsi="宋体"/>
          <w:sz w:val="32"/>
          <w:szCs w:val="32"/>
        </w:rPr>
      </w:pPr>
      <w:r>
        <w:rPr>
          <w:rFonts w:ascii="楷体_GB2312" w:eastAsia="楷体_GB2312" w:hAnsi="宋体" w:hint="eastAsia"/>
          <w:sz w:val="32"/>
          <w:szCs w:val="32"/>
        </w:rPr>
        <w:lastRenderedPageBreak/>
        <w:t>（6）召回和处置</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对于流通过程中的不安全产品，应按食品召回管理办法（国家市场监督管理总局</w:t>
      </w:r>
      <w:r w:rsidR="009D00EF" w:rsidRPr="009D00EF">
        <w:rPr>
          <w:rFonts w:ascii="仿宋_GB2312" w:eastAsia="仿宋_GB2312" w:hAnsi="宋体" w:hint="eastAsia"/>
          <w:sz w:val="32"/>
          <w:szCs w:val="32"/>
        </w:rPr>
        <w:t>〔2020〕</w:t>
      </w:r>
      <w:r>
        <w:rPr>
          <w:rFonts w:ascii="仿宋_GB2312" w:eastAsia="仿宋_GB2312" w:hAnsi="宋体" w:hint="eastAsia"/>
          <w:sz w:val="32"/>
          <w:szCs w:val="32"/>
        </w:rPr>
        <w:t>第</w:t>
      </w:r>
      <w:r w:rsidR="009D00EF">
        <w:rPr>
          <w:rFonts w:ascii="仿宋_GB2312" w:eastAsia="仿宋_GB2312" w:hAnsi="宋体" w:hint="eastAsia"/>
          <w:sz w:val="32"/>
          <w:szCs w:val="32"/>
        </w:rPr>
        <w:t>31</w:t>
      </w:r>
      <w:r>
        <w:rPr>
          <w:rFonts w:ascii="仿宋_GB2312" w:eastAsia="仿宋_GB2312" w:hAnsi="宋体" w:hint="eastAsia"/>
          <w:sz w:val="32"/>
          <w:szCs w:val="32"/>
        </w:rPr>
        <w:t>号令）执行召回和处置。块菌（松露）鲜品生产经营者应建立健全相关管理制度，收集、分析食品安全信息，履行不安全食品的停止生产经营、召回和处置义务。</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召回：生产经营者发现其生产经营的产品属于不安全食品的，应当立即停止生产经营，采取通知或者公告的方式告知相关食品生产经营者停止生产经营、消费者停止食用，并采取必要的措施防控食品安全风险。对被召回的块菌（松露），应当进行无害化处理或者予以销毁，防止其再次流入市场。对因标签、标识或者说明书不符合食品安全标准而被召回的，应采取能保证食品安全、且便于重新销售时向消费者明示的补救措施。集中交易市场的开办者、经营柜台的出租者、展销会的举办者发现经营的产品属于不安全食品的，应当及时采取有效措施，确保相关经营者停止经营不安全食品。网络交易第三方平台提供者发现网络经营者经营的食品属于不安全食品的，应当依法采取停止网络交易平台服务等措施，确保网络经营者停止经营不安全食品。食品生产者通过自检自查、公众投诉举报、经营者和监督管理部门告知等方式知悉其生产经营的产品属于不安全食品的，应当主动召回，并向县级以上地方市场监督管理部门报告召回计划。召回计划</w:t>
      </w:r>
      <w:r>
        <w:rPr>
          <w:rFonts w:ascii="仿宋_GB2312" w:eastAsia="仿宋_GB2312" w:hAnsi="宋体" w:hint="eastAsia"/>
          <w:sz w:val="32"/>
          <w:szCs w:val="32"/>
        </w:rPr>
        <w:lastRenderedPageBreak/>
        <w:t>应当包括：食品生产者的名称、住所、法定代表人、具体负责人、联系方式等基本情况；食品名称、商标、规格、生产日期、批次、数量以及召回的区域范围；召回原因及危害后果；召回等级、流程及时限；召回通知或者公告的内容及发布方式；相关生产经营者的义务和责任；召回食品的处置措施、费用承担情况；召回的预期效果。召回公告应当包括：食品生产者的名称、住所、法定代表人、具体负责人、联系电话、电子邮箱等；食品名称、商标、规格、生产日期、批次等；召回原因、等级、起止日期、区域范围；相关食品生产经营者的义务和消费者退货及赔偿的流程。</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处置：生产经营者应当依据法律法规的规定，对因停止生产经营、召回等原因退出市场的不安全食品采取补救、无害化处理、销毁等处置措施。集中销毁宜在处理前，向县级以上地方市场监督管理部门报告。对因标签、标识等不符合食品安全标准而被召回的食品，食品生产者可以在采取补救措施且能保证食品安全的情况下继续销售，销售时应当向消费者明示补救措施。对不安全食品进行无害化处理，能够实现资源循环利用的，生产经营者可以按照国家有关规定进行处理。生产经营者应当如实记录停止生产经营、召回和处置不安全食品的名称、商标、规格、生产日期、批次、数量等内容。记录保存期限不得少于2年。</w:t>
      </w:r>
    </w:p>
    <w:p w:rsidR="00C76403" w:rsidRDefault="00FB2BB0">
      <w:pPr>
        <w:pStyle w:val="af2"/>
        <w:ind w:firstLine="640"/>
        <w:rPr>
          <w:rFonts w:ascii="黑体" w:eastAsia="黑体" w:hAnsi="黑体"/>
          <w:sz w:val="32"/>
          <w:szCs w:val="32"/>
        </w:rPr>
      </w:pPr>
      <w:r>
        <w:rPr>
          <w:rFonts w:ascii="黑体" w:eastAsia="黑体" w:hAnsi="黑体" w:hint="eastAsia"/>
          <w:sz w:val="32"/>
          <w:szCs w:val="32"/>
        </w:rPr>
        <w:t>三、主要试验（或验证）的分析、综述报告，技术经济</w:t>
      </w:r>
      <w:r>
        <w:rPr>
          <w:rFonts w:ascii="黑体" w:eastAsia="黑体" w:hAnsi="黑体" w:hint="eastAsia"/>
          <w:sz w:val="32"/>
          <w:szCs w:val="32"/>
        </w:rPr>
        <w:lastRenderedPageBreak/>
        <w:t>论证，预期的经济效果</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（一）主要试验（或验证）的分析</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1、块菌（松露）成熟度分析</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现代科学研究数据显示块菌（松露）含有200多种特殊气味成分，富含18种氨基酸(包括人体不能合成的8种必需氨基酸)、丰富的蛋白质、不饱和脂肪酸、多种维生素、必需微量元素（锌、锰、铁、钙、磷、硒等），以及鞘脂类、脑苷脂、神经酰胺、三萜、雄性酮、腺苷、松露酸、甾醇、松露多糖、松露多肽等大量的代谢产物，具有极高的营养保健价值。有研究表明</w:t>
      </w:r>
      <w:r w:rsidRPr="009D00EF">
        <w:rPr>
          <w:rFonts w:ascii="仿宋_GB2312" w:eastAsia="仿宋_GB2312" w:hAnsi="宋体" w:hint="eastAsia"/>
          <w:sz w:val="32"/>
          <w:szCs w:val="32"/>
        </w:rPr>
        <w:t>未</w:t>
      </w:r>
      <w:r>
        <w:rPr>
          <w:rFonts w:ascii="仿宋_GB2312" w:eastAsia="仿宋_GB2312" w:hAnsi="宋体" w:hint="eastAsia"/>
          <w:sz w:val="32"/>
          <w:szCs w:val="32"/>
        </w:rPr>
        <w:t>成熟的中华块菌/印度块菌中仅检测出4种气味成分，中度成熟阶段检测出8种，成熟阶段至少检测出16种，而成熟阶段检测出的气味成分大多是已报道过对块菌气味有贡献的关键性成分，二甲基硫</w:t>
      </w:r>
      <w:proofErr w:type="gramStart"/>
      <w:r>
        <w:rPr>
          <w:rFonts w:ascii="仿宋_GB2312" w:eastAsia="仿宋_GB2312" w:hAnsi="宋体" w:hint="eastAsia"/>
          <w:sz w:val="32"/>
          <w:szCs w:val="32"/>
        </w:rPr>
        <w:t>醚及其</w:t>
      </w:r>
      <w:proofErr w:type="gramEnd"/>
      <w:r>
        <w:rPr>
          <w:rFonts w:ascii="仿宋_GB2312" w:eastAsia="仿宋_GB2312" w:hAnsi="宋体" w:hint="eastAsia"/>
          <w:sz w:val="32"/>
          <w:szCs w:val="32"/>
        </w:rPr>
        <w:t>同分异构物（DMA）、二甲基正丁醛、二甲基丙醛、二甲基丙醇、二甲基丁醇、己醇、</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辛烯三醇等，这些物质是中华块菌/印度块菌的关键气味成分（OAV＞1）。特别是类似于麝香气味的雄</w:t>
      </w:r>
      <w:proofErr w:type="gramStart"/>
      <w:r>
        <w:rPr>
          <w:rFonts w:ascii="仿宋_GB2312" w:eastAsia="仿宋_GB2312" w:hAnsi="宋体" w:hint="eastAsia"/>
          <w:sz w:val="32"/>
          <w:szCs w:val="32"/>
        </w:rPr>
        <w:t>甾</w:t>
      </w:r>
      <w:proofErr w:type="gramEnd"/>
      <w:r>
        <w:rPr>
          <w:rFonts w:ascii="仿宋_GB2312" w:eastAsia="仿宋_GB2312" w:hAnsi="宋体" w:hint="eastAsia"/>
          <w:sz w:val="32"/>
          <w:szCs w:val="32"/>
        </w:rPr>
        <w:t>烯醇、雄烷醇的形成对于块菌（松露）的品质具有至关重要的作用</w:t>
      </w:r>
      <w:r w:rsidR="009D00EF" w:rsidRPr="009D00EF">
        <w:rPr>
          <w:rFonts w:ascii="仿宋_GB2312" w:eastAsia="仿宋_GB2312" w:hAnsi="宋体"/>
          <w:sz w:val="32"/>
          <w:szCs w:val="32"/>
          <w:vertAlign w:val="superscript"/>
        </w:rPr>
        <w:t>[</w:t>
      </w:r>
      <w:r w:rsidR="009D00EF" w:rsidRPr="009D00EF">
        <w:rPr>
          <w:rFonts w:ascii="仿宋_GB2312" w:eastAsia="仿宋_GB2312" w:hAnsi="宋体" w:hint="eastAsia"/>
          <w:sz w:val="32"/>
          <w:szCs w:val="32"/>
          <w:vertAlign w:val="superscript"/>
        </w:rPr>
        <w:t>1</w:t>
      </w:r>
      <w:r w:rsidR="009D00EF" w:rsidRPr="009D00EF">
        <w:rPr>
          <w:rFonts w:ascii="仿宋_GB2312" w:eastAsia="仿宋_GB2312" w:hAnsi="宋体"/>
          <w:sz w:val="32"/>
          <w:szCs w:val="32"/>
          <w:vertAlign w:val="superscript"/>
        </w:rPr>
        <w:t>]</w:t>
      </w:r>
      <w:r>
        <w:rPr>
          <w:rFonts w:ascii="仿宋_GB2312" w:eastAsia="仿宋_GB2312" w:hAnsi="宋体" w:hint="eastAsia"/>
          <w:sz w:val="32"/>
          <w:szCs w:val="32"/>
        </w:rPr>
        <w:t>。块菌（松露）的品质与子囊果的成熟度有极大的关系，且未成熟的子囊果含水量高、组织疏松、营养成分不足，特有气味不足、品质差、商品价值低，未成熟的块菌（松露）出口后，部分进口国家将中国出口的块菌（松露）列为劣质块菌（松露）</w:t>
      </w:r>
      <w:r w:rsidRPr="009D00EF">
        <w:rPr>
          <w:rFonts w:ascii="仿宋_GB2312" w:eastAsia="仿宋_GB2312" w:hAnsi="宋体"/>
          <w:sz w:val="32"/>
          <w:szCs w:val="32"/>
          <w:vertAlign w:val="superscript"/>
        </w:rPr>
        <w:t>[</w:t>
      </w:r>
      <w:r w:rsidRPr="009D00EF">
        <w:rPr>
          <w:rFonts w:ascii="仿宋_GB2312" w:eastAsia="仿宋_GB2312" w:hAnsi="宋体" w:hint="eastAsia"/>
          <w:sz w:val="32"/>
          <w:szCs w:val="32"/>
          <w:vertAlign w:val="superscript"/>
        </w:rPr>
        <w:t>2</w:t>
      </w:r>
      <w:r w:rsidRPr="009D00EF">
        <w:rPr>
          <w:rFonts w:ascii="仿宋_GB2312" w:eastAsia="仿宋_GB2312" w:hAnsi="宋体"/>
          <w:sz w:val="32"/>
          <w:szCs w:val="32"/>
          <w:vertAlign w:val="superscript"/>
        </w:rPr>
        <w:t>]</w:t>
      </w:r>
      <w:r w:rsidRPr="009D00EF">
        <w:rPr>
          <w:rFonts w:ascii="仿宋_GB2312" w:eastAsia="仿宋_GB2312" w:hAnsi="宋体" w:hint="eastAsia"/>
          <w:sz w:val="32"/>
          <w:szCs w:val="32"/>
        </w:rPr>
        <w:t>，</w:t>
      </w:r>
      <w:r>
        <w:rPr>
          <w:rFonts w:ascii="仿宋_GB2312" w:eastAsia="仿宋_GB2312" w:hAnsi="宋体" w:hint="eastAsia"/>
          <w:sz w:val="32"/>
          <w:szCs w:val="32"/>
        </w:rPr>
        <w:t>严重影响中国块菌（松露）</w:t>
      </w:r>
      <w:r>
        <w:rPr>
          <w:rFonts w:ascii="仿宋_GB2312" w:eastAsia="仿宋_GB2312" w:hAnsi="宋体" w:hint="eastAsia"/>
          <w:sz w:val="32"/>
          <w:szCs w:val="32"/>
        </w:rPr>
        <w:lastRenderedPageBreak/>
        <w:t>在国际市场的声誉。因此本文件规定未成熟块菌（松露）不应作为商品交易，并规定了采集时间。</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2 等级规格分析</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（1）等级</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根据 GB/T 38697-2020 块菌（松露）鲜品质量等级规格</w:t>
      </w:r>
      <w:r w:rsidRPr="009D00EF">
        <w:rPr>
          <w:rFonts w:ascii="仿宋_GB2312" w:eastAsia="仿宋_GB2312" w:hAnsi="宋体"/>
          <w:sz w:val="32"/>
          <w:szCs w:val="32"/>
          <w:vertAlign w:val="superscript"/>
        </w:rPr>
        <w:t>[</w:t>
      </w:r>
      <w:r w:rsidRPr="009D00EF">
        <w:rPr>
          <w:rFonts w:ascii="仿宋_GB2312" w:eastAsia="仿宋_GB2312" w:hAnsi="宋体" w:hint="eastAsia"/>
          <w:sz w:val="32"/>
          <w:szCs w:val="32"/>
          <w:vertAlign w:val="superscript"/>
        </w:rPr>
        <w:t>3</w:t>
      </w:r>
      <w:r w:rsidRPr="009D00EF">
        <w:rPr>
          <w:rFonts w:ascii="仿宋_GB2312" w:eastAsia="仿宋_GB2312" w:hAnsi="宋体"/>
          <w:sz w:val="32"/>
          <w:szCs w:val="32"/>
          <w:vertAlign w:val="superscript"/>
        </w:rPr>
        <w:t>]</w:t>
      </w:r>
      <w:r>
        <w:rPr>
          <w:rFonts w:ascii="仿宋_GB2312" w:eastAsia="仿宋_GB2312" w:hAnsi="宋体" w:hint="eastAsia"/>
          <w:sz w:val="32"/>
          <w:szCs w:val="32"/>
        </w:rPr>
        <w:t xml:space="preserve">4.2.1 的规定，块菌（松露）鲜品分为一级、二级和三级。子囊果新鲜饱满有持重感，具有新鲜块菌（松露）应有的自然色泽；单体子囊果虫眼数不大于 3 </w:t>
      </w:r>
      <w:proofErr w:type="gramStart"/>
      <w:r>
        <w:rPr>
          <w:rFonts w:ascii="仿宋_GB2312" w:eastAsia="仿宋_GB2312" w:hAnsi="宋体" w:hint="eastAsia"/>
          <w:sz w:val="32"/>
          <w:szCs w:val="32"/>
        </w:rPr>
        <w:t>个</w:t>
      </w:r>
      <w:proofErr w:type="gramEnd"/>
      <w:r>
        <w:rPr>
          <w:rFonts w:ascii="仿宋_GB2312" w:eastAsia="仿宋_GB2312" w:hAnsi="宋体" w:hint="eastAsia"/>
          <w:sz w:val="32"/>
          <w:szCs w:val="32"/>
        </w:rPr>
        <w:t>、虫眼深度不大于 2.0 mm；清洗后杂质不大于 2.0%，未清洗杂质不大于 10.0%，不应出现毛发、金属碎屑、玻璃；各等级应符合表 2的规定。不能归入一级、二级、三级但未失去食用价值的列为等外级。</w:t>
      </w:r>
    </w:p>
    <w:p w:rsidR="00C76403" w:rsidRDefault="00FB2BB0">
      <w:pPr>
        <w:jc w:val="center"/>
        <w:rPr>
          <w:color w:val="000000"/>
        </w:rPr>
      </w:pPr>
      <w:r>
        <w:rPr>
          <w:rFonts w:ascii="仿宋_GB2312" w:eastAsia="仿宋_GB2312" w:hAnsi="黑体" w:hint="eastAsia"/>
          <w:sz w:val="24"/>
        </w:rPr>
        <w:t>表2 块菌（松露）鲜品等级划分</w:t>
      </w:r>
    </w:p>
    <w:tbl>
      <w:tblPr>
        <w:tblW w:w="102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4"/>
        <w:gridCol w:w="2421"/>
        <w:gridCol w:w="2378"/>
        <w:gridCol w:w="2400"/>
        <w:gridCol w:w="2100"/>
      </w:tblGrid>
      <w:tr w:rsidR="009D00EF" w:rsidRPr="009D00EF">
        <w:trPr>
          <w:trHeight w:val="487"/>
          <w:jc w:val="center"/>
        </w:trPr>
        <w:tc>
          <w:tcPr>
            <w:tcW w:w="924" w:type="dxa"/>
            <w:vMerge w:val="restart"/>
            <w:tcBorders>
              <w:top w:val="single" w:sz="12" w:space="0" w:color="auto"/>
              <w:bottom w:val="single" w:sz="12" w:space="0" w:color="auto"/>
              <w:right w:val="single" w:sz="4" w:space="0" w:color="auto"/>
            </w:tcBorders>
            <w:vAlign w:val="center"/>
          </w:tcPr>
          <w:p w:rsidR="00C76403" w:rsidRPr="009D00EF" w:rsidRDefault="00FB2BB0">
            <w:pPr>
              <w:jc w:val="center"/>
              <w:rPr>
                <w:rFonts w:ascii="宋体"/>
                <w:szCs w:val="21"/>
              </w:rPr>
            </w:pPr>
            <w:r w:rsidRPr="009D00EF">
              <w:rPr>
                <w:rFonts w:ascii="宋体" w:hint="eastAsia"/>
                <w:szCs w:val="21"/>
              </w:rPr>
              <w:t>种  类</w:t>
            </w:r>
          </w:p>
        </w:tc>
        <w:tc>
          <w:tcPr>
            <w:tcW w:w="2421" w:type="dxa"/>
            <w:vMerge w:val="restart"/>
            <w:tcBorders>
              <w:top w:val="single" w:sz="12" w:space="0" w:color="auto"/>
              <w:left w:val="single" w:sz="4" w:space="0" w:color="auto"/>
              <w:bottom w:val="single" w:sz="12"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项  目</w:t>
            </w:r>
          </w:p>
        </w:tc>
        <w:tc>
          <w:tcPr>
            <w:tcW w:w="6878" w:type="dxa"/>
            <w:gridSpan w:val="3"/>
            <w:tcBorders>
              <w:top w:val="single" w:sz="12" w:space="0" w:color="auto"/>
              <w:left w:val="single" w:sz="2" w:space="0" w:color="auto"/>
              <w:bottom w:val="single" w:sz="6" w:space="0" w:color="auto"/>
            </w:tcBorders>
            <w:vAlign w:val="center"/>
          </w:tcPr>
          <w:p w:rsidR="00C76403" w:rsidRPr="009D00EF" w:rsidRDefault="00FB2BB0">
            <w:pPr>
              <w:spacing w:line="320" w:lineRule="exact"/>
              <w:jc w:val="center"/>
              <w:rPr>
                <w:rFonts w:ascii="宋体"/>
                <w:szCs w:val="21"/>
              </w:rPr>
            </w:pPr>
            <w:r w:rsidRPr="009D00EF">
              <w:rPr>
                <w:rFonts w:ascii="宋体" w:hint="eastAsia"/>
                <w:szCs w:val="21"/>
              </w:rPr>
              <w:t>指    标</w:t>
            </w:r>
          </w:p>
        </w:tc>
      </w:tr>
      <w:tr w:rsidR="009D00EF" w:rsidRPr="009D00EF">
        <w:trPr>
          <w:trHeight w:val="449"/>
          <w:jc w:val="center"/>
        </w:trPr>
        <w:tc>
          <w:tcPr>
            <w:tcW w:w="924" w:type="dxa"/>
            <w:vMerge/>
            <w:tcBorders>
              <w:top w:val="nil"/>
              <w:bottom w:val="single" w:sz="12" w:space="0" w:color="auto"/>
              <w:right w:val="single" w:sz="4" w:space="0" w:color="auto"/>
            </w:tcBorders>
            <w:vAlign w:val="center"/>
          </w:tcPr>
          <w:p w:rsidR="00C76403" w:rsidRPr="009D00EF" w:rsidRDefault="00C76403">
            <w:pPr>
              <w:numPr>
                <w:ilvl w:val="0"/>
                <w:numId w:val="4"/>
              </w:numPr>
              <w:tabs>
                <w:tab w:val="left" w:pos="360"/>
              </w:tabs>
              <w:ind w:firstLine="0"/>
              <w:jc w:val="center"/>
              <w:rPr>
                <w:rFonts w:ascii="宋体"/>
                <w:szCs w:val="21"/>
              </w:rPr>
            </w:pPr>
          </w:p>
        </w:tc>
        <w:tc>
          <w:tcPr>
            <w:tcW w:w="2421" w:type="dxa"/>
            <w:vMerge/>
            <w:tcBorders>
              <w:top w:val="nil"/>
              <w:left w:val="single" w:sz="4" w:space="0" w:color="auto"/>
              <w:bottom w:val="single" w:sz="12" w:space="0" w:color="auto"/>
              <w:right w:val="single" w:sz="2" w:space="0" w:color="auto"/>
            </w:tcBorders>
            <w:vAlign w:val="center"/>
          </w:tcPr>
          <w:p w:rsidR="00C76403" w:rsidRPr="009D00EF" w:rsidRDefault="00C76403">
            <w:pPr>
              <w:numPr>
                <w:ilvl w:val="0"/>
                <w:numId w:val="4"/>
              </w:numPr>
              <w:tabs>
                <w:tab w:val="left" w:pos="360"/>
              </w:tabs>
              <w:ind w:firstLine="0"/>
              <w:jc w:val="center"/>
              <w:rPr>
                <w:rFonts w:ascii="宋体"/>
                <w:szCs w:val="21"/>
              </w:rPr>
            </w:pPr>
          </w:p>
        </w:tc>
        <w:tc>
          <w:tcPr>
            <w:tcW w:w="2378" w:type="dxa"/>
            <w:tcBorders>
              <w:top w:val="single" w:sz="6" w:space="0" w:color="auto"/>
              <w:left w:val="single" w:sz="2" w:space="0" w:color="auto"/>
              <w:bottom w:val="single" w:sz="12" w:space="0" w:color="auto"/>
            </w:tcBorders>
            <w:vAlign w:val="center"/>
          </w:tcPr>
          <w:p w:rsidR="00C76403" w:rsidRPr="009D00EF" w:rsidRDefault="00FB2BB0">
            <w:pPr>
              <w:spacing w:line="320" w:lineRule="exact"/>
              <w:jc w:val="center"/>
              <w:rPr>
                <w:rFonts w:ascii="宋体"/>
                <w:szCs w:val="21"/>
              </w:rPr>
            </w:pPr>
            <w:r w:rsidRPr="009D00EF">
              <w:rPr>
                <w:rFonts w:ascii="宋体" w:hint="eastAsia"/>
                <w:szCs w:val="21"/>
              </w:rPr>
              <w:t>一  级</w:t>
            </w:r>
          </w:p>
        </w:tc>
        <w:tc>
          <w:tcPr>
            <w:tcW w:w="2400" w:type="dxa"/>
            <w:tcBorders>
              <w:top w:val="single" w:sz="6" w:space="0" w:color="auto"/>
              <w:bottom w:val="single" w:sz="12" w:space="0" w:color="auto"/>
              <w:right w:val="single" w:sz="4" w:space="0" w:color="auto"/>
            </w:tcBorders>
            <w:vAlign w:val="center"/>
          </w:tcPr>
          <w:p w:rsidR="00C76403" w:rsidRPr="009D00EF" w:rsidRDefault="00FB2BB0">
            <w:pPr>
              <w:spacing w:line="320" w:lineRule="exact"/>
              <w:jc w:val="center"/>
              <w:rPr>
                <w:rFonts w:ascii="宋体"/>
                <w:szCs w:val="21"/>
              </w:rPr>
            </w:pPr>
            <w:r w:rsidRPr="009D00EF">
              <w:rPr>
                <w:rFonts w:ascii="宋体" w:hint="eastAsia"/>
                <w:szCs w:val="21"/>
              </w:rPr>
              <w:t>二  级</w:t>
            </w:r>
          </w:p>
        </w:tc>
        <w:tc>
          <w:tcPr>
            <w:tcW w:w="2100" w:type="dxa"/>
            <w:tcBorders>
              <w:top w:val="single" w:sz="6" w:space="0" w:color="auto"/>
              <w:left w:val="single" w:sz="4" w:space="0" w:color="auto"/>
              <w:bottom w:val="single" w:sz="12" w:space="0" w:color="auto"/>
              <w:right w:val="single" w:sz="12" w:space="0" w:color="auto"/>
            </w:tcBorders>
            <w:vAlign w:val="center"/>
          </w:tcPr>
          <w:p w:rsidR="00C76403" w:rsidRPr="009D00EF" w:rsidRDefault="00FB2BB0">
            <w:pPr>
              <w:spacing w:line="320" w:lineRule="exact"/>
              <w:jc w:val="center"/>
              <w:rPr>
                <w:rFonts w:ascii="宋体"/>
                <w:szCs w:val="21"/>
              </w:rPr>
            </w:pPr>
            <w:r w:rsidRPr="009D00EF">
              <w:rPr>
                <w:rFonts w:ascii="宋体" w:hint="eastAsia"/>
                <w:szCs w:val="21"/>
              </w:rPr>
              <w:t>三 级</w:t>
            </w:r>
          </w:p>
        </w:tc>
      </w:tr>
      <w:tr w:rsidR="009D00EF" w:rsidRPr="009D00EF">
        <w:trPr>
          <w:trHeight w:val="259"/>
          <w:jc w:val="center"/>
        </w:trPr>
        <w:tc>
          <w:tcPr>
            <w:tcW w:w="924" w:type="dxa"/>
            <w:vMerge w:val="restart"/>
            <w:tcBorders>
              <w:top w:val="single" w:sz="12" w:space="0" w:color="auto"/>
              <w:right w:val="single" w:sz="4" w:space="0" w:color="auto"/>
            </w:tcBorders>
            <w:vAlign w:val="center"/>
          </w:tcPr>
          <w:p w:rsidR="00C76403" w:rsidRPr="009D00EF" w:rsidRDefault="00FB2BB0">
            <w:pPr>
              <w:jc w:val="center"/>
              <w:rPr>
                <w:rFonts w:ascii="宋体"/>
                <w:szCs w:val="21"/>
              </w:rPr>
            </w:pPr>
            <w:r w:rsidRPr="009D00EF">
              <w:rPr>
                <w:rFonts w:ascii="宋体" w:hint="eastAsia"/>
                <w:szCs w:val="21"/>
              </w:rPr>
              <w:t>中华块菌/印度块菌</w:t>
            </w:r>
          </w:p>
        </w:tc>
        <w:tc>
          <w:tcPr>
            <w:tcW w:w="2421" w:type="dxa"/>
            <w:tcBorders>
              <w:top w:val="single" w:sz="12" w:space="0" w:color="auto"/>
              <w:left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形态</w:t>
            </w:r>
          </w:p>
        </w:tc>
        <w:tc>
          <w:tcPr>
            <w:tcW w:w="6878" w:type="dxa"/>
            <w:gridSpan w:val="3"/>
            <w:tcBorders>
              <w:top w:val="single" w:sz="12" w:space="0" w:color="auto"/>
              <w:left w:val="single" w:sz="2" w:space="0" w:color="auto"/>
            </w:tcBorders>
            <w:vAlign w:val="center"/>
          </w:tcPr>
          <w:p w:rsidR="00C76403" w:rsidRPr="009D00EF" w:rsidRDefault="00FB2BB0">
            <w:pPr>
              <w:jc w:val="center"/>
              <w:rPr>
                <w:szCs w:val="21"/>
              </w:rPr>
            </w:pPr>
            <w:r w:rsidRPr="009D00EF">
              <w:rPr>
                <w:rFonts w:hint="eastAsia"/>
                <w:szCs w:val="21"/>
              </w:rPr>
              <w:t>子囊果呈近球形或不规则球形，表面瘤</w:t>
            </w:r>
            <w:proofErr w:type="gramStart"/>
            <w:r w:rsidRPr="009D00EF">
              <w:rPr>
                <w:rFonts w:hint="eastAsia"/>
                <w:szCs w:val="21"/>
              </w:rPr>
              <w:t>突明显</w:t>
            </w:r>
            <w:proofErr w:type="gramEnd"/>
          </w:p>
        </w:tc>
      </w:tr>
      <w:tr w:rsidR="009D00EF" w:rsidRPr="009D00EF">
        <w:trPr>
          <w:trHeight w:val="306"/>
          <w:jc w:val="center"/>
        </w:trPr>
        <w:tc>
          <w:tcPr>
            <w:tcW w:w="924" w:type="dxa"/>
            <w:vMerge/>
            <w:tcBorders>
              <w:right w:val="single" w:sz="4" w:space="0" w:color="auto"/>
            </w:tcBorders>
            <w:vAlign w:val="center"/>
          </w:tcPr>
          <w:p w:rsidR="00C76403" w:rsidRPr="009D00EF" w:rsidRDefault="00C76403">
            <w:pPr>
              <w:jc w:val="center"/>
              <w:rPr>
                <w:rFonts w:ascii="宋体"/>
                <w:szCs w:val="21"/>
              </w:rPr>
            </w:pPr>
          </w:p>
        </w:tc>
        <w:tc>
          <w:tcPr>
            <w:tcW w:w="2421" w:type="dxa"/>
            <w:tcBorders>
              <w:top w:val="single" w:sz="6" w:space="0" w:color="auto"/>
              <w:left w:val="single" w:sz="4" w:space="0" w:color="auto"/>
              <w:bottom w:val="single" w:sz="6"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破损情况</w:t>
            </w:r>
          </w:p>
        </w:tc>
        <w:tc>
          <w:tcPr>
            <w:tcW w:w="2378" w:type="dxa"/>
            <w:tcBorders>
              <w:left w:val="single" w:sz="2" w:space="0" w:color="auto"/>
              <w:right w:val="single" w:sz="4" w:space="0" w:color="auto"/>
            </w:tcBorders>
            <w:vAlign w:val="center"/>
          </w:tcPr>
          <w:p w:rsidR="00C76403" w:rsidRPr="009D00EF" w:rsidRDefault="00FB2BB0">
            <w:pPr>
              <w:jc w:val="center"/>
              <w:rPr>
                <w:szCs w:val="21"/>
              </w:rPr>
            </w:pPr>
            <w:r w:rsidRPr="009D00EF">
              <w:rPr>
                <w:rFonts w:hint="eastAsia"/>
                <w:szCs w:val="21"/>
              </w:rPr>
              <w:t>无破损，允许有极轻微的表面缺陷，但不影响外观和品质</w:t>
            </w:r>
          </w:p>
        </w:tc>
        <w:tc>
          <w:tcPr>
            <w:tcW w:w="2400" w:type="dxa"/>
            <w:tcBorders>
              <w:left w:val="single" w:sz="4" w:space="0" w:color="auto"/>
              <w:right w:val="single" w:sz="4" w:space="0" w:color="auto"/>
            </w:tcBorders>
            <w:vAlign w:val="center"/>
          </w:tcPr>
          <w:p w:rsidR="00C76403" w:rsidRPr="009D00EF" w:rsidRDefault="00FB2BB0">
            <w:pPr>
              <w:jc w:val="center"/>
              <w:rPr>
                <w:szCs w:val="21"/>
              </w:rPr>
            </w:pPr>
            <w:r w:rsidRPr="009D00EF">
              <w:rPr>
                <w:rFonts w:hint="eastAsia"/>
                <w:szCs w:val="21"/>
              </w:rPr>
              <w:t>允许有轻微的表面损伤，单体损伤率不大于</w:t>
            </w:r>
            <w:r w:rsidRPr="009D00EF">
              <w:rPr>
                <w:rFonts w:hint="eastAsia"/>
                <w:szCs w:val="21"/>
              </w:rPr>
              <w:t xml:space="preserve"> </w:t>
            </w:r>
            <w:r w:rsidRPr="009D00EF">
              <w:rPr>
                <w:rFonts w:ascii="宋体" w:hAnsi="宋体" w:hint="eastAsia"/>
                <w:szCs w:val="21"/>
              </w:rPr>
              <w:t>5%，</w:t>
            </w:r>
            <w:r w:rsidRPr="009D00EF">
              <w:rPr>
                <w:rFonts w:hint="eastAsia"/>
                <w:szCs w:val="21"/>
              </w:rPr>
              <w:t>但不影响品质</w:t>
            </w:r>
          </w:p>
        </w:tc>
        <w:tc>
          <w:tcPr>
            <w:tcW w:w="2100" w:type="dxa"/>
            <w:tcBorders>
              <w:left w:val="single" w:sz="4" w:space="0" w:color="auto"/>
            </w:tcBorders>
            <w:vAlign w:val="center"/>
          </w:tcPr>
          <w:p w:rsidR="00C76403" w:rsidRPr="009D00EF" w:rsidRDefault="00FB2BB0">
            <w:pPr>
              <w:jc w:val="center"/>
              <w:rPr>
                <w:szCs w:val="21"/>
              </w:rPr>
            </w:pPr>
            <w:r w:rsidRPr="009D00EF">
              <w:rPr>
                <w:rFonts w:hint="eastAsia"/>
                <w:szCs w:val="21"/>
              </w:rPr>
              <w:t>允许有表面损伤，单体损伤率不大于</w:t>
            </w:r>
            <w:r w:rsidRPr="009D00EF">
              <w:rPr>
                <w:rFonts w:hint="eastAsia"/>
                <w:szCs w:val="21"/>
              </w:rPr>
              <w:t xml:space="preserve"> 1</w:t>
            </w:r>
            <w:r w:rsidRPr="009D00EF">
              <w:rPr>
                <w:rFonts w:ascii="宋体" w:hAnsi="宋体" w:hint="eastAsia"/>
                <w:szCs w:val="21"/>
              </w:rPr>
              <w:t>0%，</w:t>
            </w:r>
            <w:r w:rsidRPr="009D00EF">
              <w:rPr>
                <w:rFonts w:hint="eastAsia"/>
                <w:szCs w:val="21"/>
              </w:rPr>
              <w:t>但不影响品质</w:t>
            </w:r>
          </w:p>
        </w:tc>
      </w:tr>
      <w:tr w:rsidR="009D00EF" w:rsidRPr="009D00EF">
        <w:trPr>
          <w:trHeight w:val="388"/>
          <w:jc w:val="center"/>
        </w:trPr>
        <w:tc>
          <w:tcPr>
            <w:tcW w:w="924" w:type="dxa"/>
            <w:vMerge/>
            <w:tcBorders>
              <w:right w:val="single" w:sz="4" w:space="0" w:color="auto"/>
            </w:tcBorders>
            <w:vAlign w:val="center"/>
          </w:tcPr>
          <w:p w:rsidR="00C76403" w:rsidRPr="009D00EF" w:rsidRDefault="00C76403">
            <w:pPr>
              <w:jc w:val="center"/>
              <w:rPr>
                <w:rFonts w:ascii="宋体"/>
                <w:szCs w:val="21"/>
              </w:rPr>
            </w:pPr>
          </w:p>
        </w:tc>
        <w:tc>
          <w:tcPr>
            <w:tcW w:w="2421" w:type="dxa"/>
            <w:tcBorders>
              <w:top w:val="single" w:sz="6" w:space="0" w:color="auto"/>
              <w:left w:val="single" w:sz="4" w:space="0" w:color="auto"/>
              <w:bottom w:val="single" w:sz="6" w:space="0" w:color="auto"/>
              <w:right w:val="single" w:sz="2" w:space="0" w:color="auto"/>
            </w:tcBorders>
            <w:vAlign w:val="center"/>
          </w:tcPr>
          <w:p w:rsidR="00C76403" w:rsidRPr="009D00EF" w:rsidRDefault="00FB2BB0">
            <w:pPr>
              <w:jc w:val="center"/>
              <w:rPr>
                <w:rFonts w:ascii="宋体" w:hAnsi="宋体" w:cs="Arial"/>
                <w:bCs/>
                <w:kern w:val="0"/>
                <w:szCs w:val="21"/>
              </w:rPr>
            </w:pPr>
            <w:r w:rsidRPr="009D00EF">
              <w:rPr>
                <w:rFonts w:ascii="宋体" w:hAnsi="宋体" w:cs="Arial" w:hint="eastAsia"/>
                <w:bCs/>
                <w:kern w:val="0"/>
                <w:szCs w:val="21"/>
              </w:rPr>
              <w:t>子囊果最大直径</w:t>
            </w:r>
            <w:r w:rsidRPr="009D00EF">
              <w:rPr>
                <w:rFonts w:ascii="宋体" w:hAnsi="宋体" w:hint="eastAsia"/>
                <w:szCs w:val="21"/>
              </w:rPr>
              <w:t>φ</w:t>
            </w:r>
            <w:r w:rsidRPr="009D00EF">
              <w:rPr>
                <w:rFonts w:ascii="宋体" w:hAnsi="宋体" w:hint="eastAsia"/>
                <w:szCs w:val="21"/>
                <w:vertAlign w:val="subscript"/>
              </w:rPr>
              <w:t>max</w:t>
            </w:r>
            <w:r w:rsidRPr="009D00EF">
              <w:rPr>
                <w:rFonts w:ascii="宋体" w:hAnsi="宋体" w:hint="eastAsia"/>
                <w:szCs w:val="21"/>
              </w:rPr>
              <w:t>/cm</w:t>
            </w:r>
          </w:p>
        </w:tc>
        <w:tc>
          <w:tcPr>
            <w:tcW w:w="2378" w:type="dxa"/>
            <w:tcBorders>
              <w:left w:val="single" w:sz="2" w:space="0" w:color="auto"/>
              <w:right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400" w:type="dxa"/>
            <w:tcBorders>
              <w:left w:val="single" w:sz="4" w:space="0" w:color="auto"/>
              <w:right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3.0</w:t>
            </w:r>
          </w:p>
        </w:tc>
        <w:tc>
          <w:tcPr>
            <w:tcW w:w="2100" w:type="dxa"/>
            <w:tcBorders>
              <w:left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2.0</w:t>
            </w:r>
          </w:p>
        </w:tc>
      </w:tr>
      <w:tr w:rsidR="009D00EF" w:rsidRPr="009D00EF">
        <w:trPr>
          <w:trHeight w:val="287"/>
          <w:jc w:val="center"/>
        </w:trPr>
        <w:tc>
          <w:tcPr>
            <w:tcW w:w="924" w:type="dxa"/>
            <w:vMerge/>
            <w:tcBorders>
              <w:right w:val="single" w:sz="4" w:space="0" w:color="auto"/>
            </w:tcBorders>
            <w:vAlign w:val="center"/>
          </w:tcPr>
          <w:p w:rsidR="00C76403" w:rsidRPr="009D00EF" w:rsidRDefault="00C76403">
            <w:pPr>
              <w:jc w:val="center"/>
              <w:rPr>
                <w:rFonts w:ascii="宋体"/>
                <w:szCs w:val="21"/>
              </w:rPr>
            </w:pPr>
          </w:p>
        </w:tc>
        <w:tc>
          <w:tcPr>
            <w:tcW w:w="2421" w:type="dxa"/>
            <w:tcBorders>
              <w:top w:val="single" w:sz="6" w:space="0" w:color="auto"/>
              <w:left w:val="single" w:sz="4" w:space="0" w:color="auto"/>
              <w:bottom w:val="single" w:sz="6"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成熟度</w:t>
            </w:r>
          </w:p>
        </w:tc>
        <w:tc>
          <w:tcPr>
            <w:tcW w:w="6878" w:type="dxa"/>
            <w:gridSpan w:val="3"/>
            <w:tcBorders>
              <w:left w:val="single" w:sz="2"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子囊果表面</w:t>
            </w:r>
            <w:r w:rsidRPr="009D00EF">
              <w:rPr>
                <w:rFonts w:hint="eastAsia"/>
                <w:szCs w:val="21"/>
              </w:rPr>
              <w:t>淡褐黑色至茶褐黑色</w:t>
            </w:r>
            <w:r w:rsidRPr="009D00EF">
              <w:rPr>
                <w:rFonts w:ascii="宋体" w:hAnsi="宋体" w:hint="eastAsia"/>
                <w:szCs w:val="21"/>
              </w:rPr>
              <w:t>；切面菌肉茶褐色至黑色，有大理石花纹</w:t>
            </w:r>
          </w:p>
        </w:tc>
      </w:tr>
      <w:tr w:rsidR="009D00EF" w:rsidRPr="009D00EF">
        <w:trPr>
          <w:jc w:val="center"/>
        </w:trPr>
        <w:tc>
          <w:tcPr>
            <w:tcW w:w="924" w:type="dxa"/>
            <w:vMerge w:val="restart"/>
            <w:tcBorders>
              <w:top w:val="single" w:sz="4" w:space="0" w:color="auto"/>
              <w:right w:val="single" w:sz="4" w:space="0" w:color="auto"/>
            </w:tcBorders>
            <w:vAlign w:val="center"/>
          </w:tcPr>
          <w:p w:rsidR="00C76403" w:rsidRPr="009D00EF" w:rsidRDefault="00FB2BB0">
            <w:pPr>
              <w:jc w:val="center"/>
              <w:rPr>
                <w:rFonts w:ascii="宋体"/>
                <w:szCs w:val="21"/>
              </w:rPr>
            </w:pPr>
            <w:r w:rsidRPr="009D00EF">
              <w:rPr>
                <w:rFonts w:hAnsi="宋体" w:hint="eastAsia"/>
                <w:szCs w:val="21"/>
              </w:rPr>
              <w:t>假喜马拉雅块菌</w:t>
            </w: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形态</w:t>
            </w:r>
          </w:p>
        </w:tc>
        <w:tc>
          <w:tcPr>
            <w:tcW w:w="6878" w:type="dxa"/>
            <w:gridSpan w:val="3"/>
            <w:tcBorders>
              <w:top w:val="single" w:sz="4" w:space="0" w:color="auto"/>
              <w:left w:val="single" w:sz="2" w:space="0" w:color="auto"/>
              <w:bottom w:val="single" w:sz="4" w:space="0" w:color="auto"/>
            </w:tcBorders>
            <w:vAlign w:val="center"/>
          </w:tcPr>
          <w:p w:rsidR="00C76403" w:rsidRPr="009D00EF" w:rsidRDefault="00FB2BB0">
            <w:pPr>
              <w:jc w:val="center"/>
              <w:rPr>
                <w:szCs w:val="21"/>
              </w:rPr>
            </w:pPr>
            <w:r w:rsidRPr="009D00EF">
              <w:rPr>
                <w:rFonts w:hint="eastAsia"/>
                <w:szCs w:val="21"/>
              </w:rPr>
              <w:t>子囊果近球形或不规则球形，表面具有锥状疣突，</w:t>
            </w:r>
            <w:r w:rsidRPr="009D00EF">
              <w:rPr>
                <w:rFonts w:ascii="宋体" w:hAnsi="宋体" w:hint="eastAsia"/>
                <w:szCs w:val="21"/>
              </w:rPr>
              <w:t>基部有不规则陷窝</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破损情况</w:t>
            </w:r>
          </w:p>
        </w:tc>
        <w:tc>
          <w:tcPr>
            <w:tcW w:w="2378" w:type="dxa"/>
            <w:tcBorders>
              <w:top w:val="single" w:sz="4" w:space="0" w:color="auto"/>
              <w:left w:val="single" w:sz="2" w:space="0" w:color="auto"/>
              <w:bottom w:val="single" w:sz="4" w:space="0" w:color="auto"/>
              <w:right w:val="single" w:sz="4" w:space="0" w:color="auto"/>
            </w:tcBorders>
            <w:vAlign w:val="center"/>
          </w:tcPr>
          <w:p w:rsidR="00C76403" w:rsidRPr="009D00EF" w:rsidRDefault="00FB2BB0">
            <w:pPr>
              <w:jc w:val="center"/>
              <w:rPr>
                <w:szCs w:val="21"/>
              </w:rPr>
            </w:pPr>
            <w:r w:rsidRPr="009D00EF">
              <w:rPr>
                <w:rFonts w:hint="eastAsia"/>
                <w:szCs w:val="21"/>
              </w:rPr>
              <w:t>无破损，允许有极轻微的表面缺陷，但不影响外观和品质</w:t>
            </w:r>
          </w:p>
        </w:tc>
        <w:tc>
          <w:tcPr>
            <w:tcW w:w="2400" w:type="dxa"/>
            <w:tcBorders>
              <w:top w:val="single" w:sz="4" w:space="0" w:color="auto"/>
              <w:left w:val="single" w:sz="4" w:space="0" w:color="auto"/>
              <w:bottom w:val="single" w:sz="4" w:space="0" w:color="auto"/>
              <w:right w:val="single" w:sz="4" w:space="0" w:color="auto"/>
            </w:tcBorders>
            <w:vAlign w:val="center"/>
          </w:tcPr>
          <w:p w:rsidR="00C76403" w:rsidRPr="009D00EF" w:rsidRDefault="00FB2BB0">
            <w:pPr>
              <w:jc w:val="center"/>
              <w:rPr>
                <w:szCs w:val="21"/>
              </w:rPr>
            </w:pPr>
            <w:r w:rsidRPr="009D00EF">
              <w:rPr>
                <w:rFonts w:hint="eastAsia"/>
                <w:szCs w:val="21"/>
              </w:rPr>
              <w:t>允许有轻微的表面损伤，单体损伤率不大于</w:t>
            </w:r>
            <w:r w:rsidRPr="009D00EF">
              <w:rPr>
                <w:rFonts w:hint="eastAsia"/>
                <w:szCs w:val="21"/>
              </w:rPr>
              <w:t xml:space="preserve"> </w:t>
            </w:r>
            <w:r w:rsidRPr="009D00EF">
              <w:rPr>
                <w:rFonts w:ascii="宋体" w:hAnsi="宋体" w:hint="eastAsia"/>
                <w:szCs w:val="21"/>
              </w:rPr>
              <w:t>5%，</w:t>
            </w:r>
            <w:r w:rsidRPr="009D00EF">
              <w:rPr>
                <w:rFonts w:hint="eastAsia"/>
                <w:szCs w:val="21"/>
              </w:rPr>
              <w:t>但不影响品质</w:t>
            </w:r>
          </w:p>
        </w:tc>
        <w:tc>
          <w:tcPr>
            <w:tcW w:w="2100" w:type="dxa"/>
            <w:tcBorders>
              <w:top w:val="single" w:sz="4" w:space="0" w:color="auto"/>
              <w:left w:val="single" w:sz="4" w:space="0" w:color="auto"/>
              <w:bottom w:val="single" w:sz="4" w:space="0" w:color="auto"/>
            </w:tcBorders>
            <w:vAlign w:val="center"/>
          </w:tcPr>
          <w:p w:rsidR="00C76403" w:rsidRPr="009D00EF" w:rsidRDefault="00FB2BB0">
            <w:pPr>
              <w:jc w:val="center"/>
              <w:rPr>
                <w:szCs w:val="21"/>
              </w:rPr>
            </w:pPr>
            <w:r w:rsidRPr="009D00EF">
              <w:rPr>
                <w:rFonts w:hint="eastAsia"/>
                <w:szCs w:val="21"/>
              </w:rPr>
              <w:t>允许有表面损伤，单体损伤率不大于</w:t>
            </w:r>
            <w:r w:rsidRPr="009D00EF">
              <w:rPr>
                <w:rFonts w:hint="eastAsia"/>
                <w:szCs w:val="21"/>
              </w:rPr>
              <w:t xml:space="preserve"> 1</w:t>
            </w:r>
            <w:r w:rsidRPr="009D00EF">
              <w:rPr>
                <w:rFonts w:ascii="宋体" w:hAnsi="宋体" w:hint="eastAsia"/>
                <w:szCs w:val="21"/>
              </w:rPr>
              <w:t>0%，</w:t>
            </w:r>
            <w:r w:rsidRPr="009D00EF">
              <w:rPr>
                <w:rFonts w:hint="eastAsia"/>
                <w:szCs w:val="21"/>
              </w:rPr>
              <w:t>但不影响品质</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hAnsi="宋体" w:cs="Arial"/>
                <w:bCs/>
                <w:kern w:val="0"/>
                <w:szCs w:val="21"/>
              </w:rPr>
            </w:pPr>
            <w:r w:rsidRPr="009D00EF">
              <w:rPr>
                <w:rFonts w:ascii="宋体" w:hAnsi="宋体" w:cs="Arial" w:hint="eastAsia"/>
                <w:bCs/>
                <w:kern w:val="0"/>
                <w:szCs w:val="21"/>
              </w:rPr>
              <w:t>子囊果最大直径</w:t>
            </w:r>
            <w:r w:rsidRPr="009D00EF">
              <w:rPr>
                <w:rFonts w:ascii="宋体" w:hAnsi="宋体" w:hint="eastAsia"/>
                <w:szCs w:val="21"/>
              </w:rPr>
              <w:t>φ</w:t>
            </w:r>
            <w:r w:rsidRPr="009D00EF">
              <w:rPr>
                <w:rFonts w:ascii="宋体" w:hAnsi="宋体" w:hint="eastAsia"/>
                <w:szCs w:val="21"/>
                <w:vertAlign w:val="subscript"/>
              </w:rPr>
              <w:t>max</w:t>
            </w:r>
            <w:r w:rsidRPr="009D00EF">
              <w:rPr>
                <w:rFonts w:ascii="宋体" w:hAnsi="宋体" w:hint="eastAsia"/>
                <w:szCs w:val="21"/>
              </w:rPr>
              <w:t>/cm</w:t>
            </w:r>
          </w:p>
        </w:tc>
        <w:tc>
          <w:tcPr>
            <w:tcW w:w="2378" w:type="dxa"/>
            <w:tcBorders>
              <w:top w:val="single" w:sz="4" w:space="0" w:color="auto"/>
              <w:left w:val="single" w:sz="2" w:space="0" w:color="auto"/>
              <w:bottom w:val="single" w:sz="4" w:space="0" w:color="auto"/>
              <w:right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4.0</w:t>
            </w:r>
          </w:p>
        </w:tc>
        <w:tc>
          <w:tcPr>
            <w:tcW w:w="2400" w:type="dxa"/>
            <w:tcBorders>
              <w:top w:val="single" w:sz="4" w:space="0" w:color="auto"/>
              <w:left w:val="single" w:sz="4" w:space="0" w:color="auto"/>
              <w:bottom w:val="single" w:sz="4" w:space="0" w:color="auto"/>
              <w:right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2.0</w:t>
            </w:r>
          </w:p>
        </w:tc>
        <w:tc>
          <w:tcPr>
            <w:tcW w:w="2100" w:type="dxa"/>
            <w:tcBorders>
              <w:top w:val="single" w:sz="4" w:space="0" w:color="auto"/>
              <w:left w:val="single" w:sz="4" w:space="0" w:color="auto"/>
              <w:bottom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1.0</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成熟度</w:t>
            </w:r>
          </w:p>
        </w:tc>
        <w:tc>
          <w:tcPr>
            <w:tcW w:w="6878" w:type="dxa"/>
            <w:gridSpan w:val="3"/>
            <w:tcBorders>
              <w:top w:val="single" w:sz="4" w:space="0" w:color="auto"/>
              <w:left w:val="single" w:sz="2" w:space="0" w:color="auto"/>
              <w:bottom w:val="single" w:sz="4" w:space="0" w:color="auto"/>
            </w:tcBorders>
            <w:vAlign w:val="center"/>
          </w:tcPr>
          <w:p w:rsidR="00C76403" w:rsidRPr="009D00EF" w:rsidRDefault="00FB2BB0">
            <w:pPr>
              <w:jc w:val="center"/>
              <w:rPr>
                <w:szCs w:val="21"/>
              </w:rPr>
            </w:pPr>
            <w:r w:rsidRPr="009D00EF">
              <w:rPr>
                <w:rFonts w:ascii="宋体" w:hAnsi="宋体" w:hint="eastAsia"/>
                <w:szCs w:val="21"/>
              </w:rPr>
              <w:t>子囊果表面淡褐色至茶褐色；切面菌肉淡咖啡色至灰褐色，有辐射状花纹</w:t>
            </w:r>
          </w:p>
        </w:tc>
      </w:tr>
      <w:tr w:rsidR="009D00EF" w:rsidRPr="009D00EF">
        <w:trPr>
          <w:jc w:val="center"/>
        </w:trPr>
        <w:tc>
          <w:tcPr>
            <w:tcW w:w="924" w:type="dxa"/>
            <w:vMerge w:val="restart"/>
            <w:tcBorders>
              <w:right w:val="single" w:sz="4" w:space="0" w:color="auto"/>
            </w:tcBorders>
            <w:vAlign w:val="center"/>
          </w:tcPr>
          <w:p w:rsidR="00C76403" w:rsidRPr="009D00EF" w:rsidRDefault="00FB2BB0">
            <w:pPr>
              <w:jc w:val="center"/>
              <w:rPr>
                <w:rFonts w:hAnsi="宋体"/>
                <w:szCs w:val="21"/>
              </w:rPr>
            </w:pPr>
            <w:r w:rsidRPr="009D00EF">
              <w:rPr>
                <w:rFonts w:hAnsi="宋体" w:hint="eastAsia"/>
                <w:szCs w:val="21"/>
              </w:rPr>
              <w:t>中华夏块菌</w:t>
            </w: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形态</w:t>
            </w:r>
          </w:p>
        </w:tc>
        <w:tc>
          <w:tcPr>
            <w:tcW w:w="6878" w:type="dxa"/>
            <w:gridSpan w:val="3"/>
            <w:tcBorders>
              <w:top w:val="single" w:sz="4" w:space="0" w:color="auto"/>
              <w:left w:val="single" w:sz="2" w:space="0" w:color="auto"/>
              <w:bottom w:val="single" w:sz="4" w:space="0" w:color="auto"/>
            </w:tcBorders>
            <w:vAlign w:val="center"/>
          </w:tcPr>
          <w:p w:rsidR="00C76403" w:rsidRPr="009D00EF" w:rsidRDefault="00FB2BB0">
            <w:pPr>
              <w:jc w:val="center"/>
              <w:rPr>
                <w:rFonts w:ascii="宋体" w:hAnsi="宋体"/>
                <w:szCs w:val="21"/>
              </w:rPr>
            </w:pPr>
            <w:r w:rsidRPr="009D00EF">
              <w:rPr>
                <w:rFonts w:hint="eastAsia"/>
              </w:rPr>
              <w:t>子囊果近球形，表面多角状</w:t>
            </w:r>
            <w:proofErr w:type="gramStart"/>
            <w:r w:rsidRPr="009D00EF">
              <w:rPr>
                <w:rFonts w:hint="eastAsia"/>
              </w:rPr>
              <w:t>瘤突大而</w:t>
            </w:r>
            <w:proofErr w:type="gramEnd"/>
            <w:r w:rsidRPr="009D00EF">
              <w:rPr>
                <w:rFonts w:hint="eastAsia"/>
              </w:rPr>
              <w:t>明显</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破损情况</w:t>
            </w:r>
          </w:p>
        </w:tc>
        <w:tc>
          <w:tcPr>
            <w:tcW w:w="2378" w:type="dxa"/>
            <w:tcBorders>
              <w:top w:val="single" w:sz="4" w:space="0" w:color="auto"/>
              <w:left w:val="single" w:sz="2" w:space="0" w:color="auto"/>
              <w:bottom w:val="single" w:sz="4" w:space="0" w:color="auto"/>
              <w:right w:val="single" w:sz="4" w:space="0" w:color="auto"/>
            </w:tcBorders>
            <w:vAlign w:val="center"/>
          </w:tcPr>
          <w:p w:rsidR="00C76403" w:rsidRPr="009D00EF" w:rsidRDefault="00FB2BB0">
            <w:pPr>
              <w:jc w:val="center"/>
              <w:rPr>
                <w:szCs w:val="21"/>
              </w:rPr>
            </w:pPr>
            <w:r w:rsidRPr="009D00EF">
              <w:rPr>
                <w:rFonts w:hint="eastAsia"/>
                <w:szCs w:val="21"/>
              </w:rPr>
              <w:t>无破损，允许有极轻微的表面缺陷，但不影响</w:t>
            </w:r>
            <w:r w:rsidRPr="009D00EF">
              <w:rPr>
                <w:rFonts w:hint="eastAsia"/>
                <w:szCs w:val="21"/>
              </w:rPr>
              <w:lastRenderedPageBreak/>
              <w:t>外观和品质</w:t>
            </w:r>
          </w:p>
        </w:tc>
        <w:tc>
          <w:tcPr>
            <w:tcW w:w="2400" w:type="dxa"/>
            <w:tcBorders>
              <w:top w:val="single" w:sz="4" w:space="0" w:color="auto"/>
              <w:left w:val="single" w:sz="4" w:space="0" w:color="auto"/>
              <w:bottom w:val="single" w:sz="4" w:space="0" w:color="auto"/>
              <w:right w:val="single" w:sz="4" w:space="0" w:color="auto"/>
            </w:tcBorders>
            <w:vAlign w:val="center"/>
          </w:tcPr>
          <w:p w:rsidR="00C76403" w:rsidRPr="009D00EF" w:rsidRDefault="00FB2BB0">
            <w:pPr>
              <w:jc w:val="center"/>
              <w:rPr>
                <w:szCs w:val="21"/>
              </w:rPr>
            </w:pPr>
            <w:r w:rsidRPr="009D00EF">
              <w:rPr>
                <w:rFonts w:hint="eastAsia"/>
                <w:szCs w:val="21"/>
              </w:rPr>
              <w:lastRenderedPageBreak/>
              <w:t>允许有轻微的表面损伤，单体损伤率不大于</w:t>
            </w:r>
            <w:r w:rsidRPr="009D00EF">
              <w:rPr>
                <w:rFonts w:hint="eastAsia"/>
                <w:szCs w:val="21"/>
              </w:rPr>
              <w:t xml:space="preserve"> </w:t>
            </w:r>
            <w:r w:rsidRPr="009D00EF">
              <w:rPr>
                <w:rFonts w:ascii="宋体" w:hAnsi="宋体" w:hint="eastAsia"/>
                <w:szCs w:val="21"/>
              </w:rPr>
              <w:lastRenderedPageBreak/>
              <w:t>5%，</w:t>
            </w:r>
            <w:r w:rsidRPr="009D00EF">
              <w:rPr>
                <w:rFonts w:hint="eastAsia"/>
                <w:szCs w:val="21"/>
              </w:rPr>
              <w:t>但不影响品质</w:t>
            </w:r>
          </w:p>
        </w:tc>
        <w:tc>
          <w:tcPr>
            <w:tcW w:w="2100" w:type="dxa"/>
            <w:tcBorders>
              <w:top w:val="single" w:sz="4" w:space="0" w:color="auto"/>
              <w:left w:val="single" w:sz="4" w:space="0" w:color="auto"/>
              <w:bottom w:val="single" w:sz="4" w:space="0" w:color="auto"/>
            </w:tcBorders>
            <w:vAlign w:val="center"/>
          </w:tcPr>
          <w:p w:rsidR="00C76403" w:rsidRPr="009D00EF" w:rsidRDefault="00FB2BB0">
            <w:pPr>
              <w:jc w:val="center"/>
              <w:rPr>
                <w:szCs w:val="21"/>
              </w:rPr>
            </w:pPr>
            <w:r w:rsidRPr="009D00EF">
              <w:rPr>
                <w:rFonts w:hint="eastAsia"/>
                <w:szCs w:val="21"/>
              </w:rPr>
              <w:lastRenderedPageBreak/>
              <w:t>允许有表面损伤，单体损伤率不大于</w:t>
            </w:r>
            <w:r w:rsidRPr="009D00EF">
              <w:rPr>
                <w:rFonts w:hint="eastAsia"/>
                <w:szCs w:val="21"/>
              </w:rPr>
              <w:t xml:space="preserve"> </w:t>
            </w:r>
            <w:r w:rsidRPr="009D00EF">
              <w:rPr>
                <w:rFonts w:hint="eastAsia"/>
                <w:szCs w:val="21"/>
              </w:rPr>
              <w:lastRenderedPageBreak/>
              <w:t>1</w:t>
            </w:r>
            <w:r w:rsidRPr="009D00EF">
              <w:rPr>
                <w:rFonts w:ascii="宋体" w:hAnsi="宋体" w:hint="eastAsia"/>
                <w:szCs w:val="21"/>
              </w:rPr>
              <w:t>0%，</w:t>
            </w:r>
            <w:r w:rsidRPr="009D00EF">
              <w:rPr>
                <w:rFonts w:hint="eastAsia"/>
                <w:szCs w:val="21"/>
              </w:rPr>
              <w:t>但不影响品质</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hAnsi="宋体" w:cs="Arial"/>
                <w:bCs/>
                <w:kern w:val="0"/>
                <w:szCs w:val="21"/>
              </w:rPr>
            </w:pPr>
            <w:r w:rsidRPr="009D00EF">
              <w:rPr>
                <w:rFonts w:ascii="宋体" w:hAnsi="宋体" w:cs="Arial" w:hint="eastAsia"/>
                <w:bCs/>
                <w:kern w:val="0"/>
                <w:szCs w:val="21"/>
              </w:rPr>
              <w:t>子囊果最大直径</w:t>
            </w:r>
            <w:r w:rsidRPr="009D00EF">
              <w:rPr>
                <w:rFonts w:ascii="宋体" w:hAnsi="宋体" w:hint="eastAsia"/>
                <w:szCs w:val="21"/>
              </w:rPr>
              <w:t>φ</w:t>
            </w:r>
            <w:r w:rsidRPr="009D00EF">
              <w:rPr>
                <w:rFonts w:ascii="宋体" w:hAnsi="宋体" w:hint="eastAsia"/>
                <w:szCs w:val="21"/>
                <w:vertAlign w:val="subscript"/>
              </w:rPr>
              <w:t>max</w:t>
            </w:r>
            <w:r w:rsidRPr="009D00EF">
              <w:rPr>
                <w:rFonts w:ascii="宋体" w:hAnsi="宋体" w:hint="eastAsia"/>
                <w:szCs w:val="21"/>
              </w:rPr>
              <w:t>/cm</w:t>
            </w:r>
          </w:p>
        </w:tc>
        <w:tc>
          <w:tcPr>
            <w:tcW w:w="2378" w:type="dxa"/>
            <w:tcBorders>
              <w:top w:val="single" w:sz="4" w:space="0" w:color="auto"/>
              <w:left w:val="single" w:sz="2" w:space="0" w:color="auto"/>
              <w:bottom w:val="single" w:sz="4" w:space="0" w:color="auto"/>
              <w:right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400" w:type="dxa"/>
            <w:tcBorders>
              <w:top w:val="single" w:sz="4" w:space="0" w:color="auto"/>
              <w:left w:val="single" w:sz="4" w:space="0" w:color="auto"/>
              <w:bottom w:val="single" w:sz="4" w:space="0" w:color="auto"/>
              <w:right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3.0</w:t>
            </w:r>
          </w:p>
        </w:tc>
        <w:tc>
          <w:tcPr>
            <w:tcW w:w="2100" w:type="dxa"/>
            <w:tcBorders>
              <w:top w:val="single" w:sz="4" w:space="0" w:color="auto"/>
              <w:left w:val="single" w:sz="4" w:space="0" w:color="auto"/>
              <w:bottom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2.0</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成熟度</w:t>
            </w:r>
          </w:p>
        </w:tc>
        <w:tc>
          <w:tcPr>
            <w:tcW w:w="6878" w:type="dxa"/>
            <w:gridSpan w:val="3"/>
            <w:tcBorders>
              <w:top w:val="single" w:sz="4" w:space="0" w:color="auto"/>
              <w:left w:val="single" w:sz="2" w:space="0" w:color="auto"/>
              <w:bottom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子囊果表面乌黑色至漆黑色；切面菌肉咖啡色至深咖啡色，有大理石花纹</w:t>
            </w:r>
          </w:p>
        </w:tc>
      </w:tr>
      <w:tr w:rsidR="009D00EF" w:rsidRPr="009D00EF">
        <w:trPr>
          <w:jc w:val="center"/>
        </w:trPr>
        <w:tc>
          <w:tcPr>
            <w:tcW w:w="924" w:type="dxa"/>
            <w:vMerge w:val="restart"/>
            <w:tcBorders>
              <w:right w:val="single" w:sz="4" w:space="0" w:color="auto"/>
            </w:tcBorders>
            <w:vAlign w:val="center"/>
          </w:tcPr>
          <w:p w:rsidR="00C76403" w:rsidRPr="009D00EF" w:rsidRDefault="00FB2BB0">
            <w:pPr>
              <w:jc w:val="center"/>
              <w:rPr>
                <w:rFonts w:hAnsi="宋体"/>
                <w:szCs w:val="21"/>
              </w:rPr>
            </w:pPr>
            <w:r w:rsidRPr="009D00EF">
              <w:rPr>
                <w:rFonts w:hAnsi="宋体" w:hint="eastAsia"/>
                <w:szCs w:val="21"/>
              </w:rPr>
              <w:t>台湾块菌</w:t>
            </w: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形态</w:t>
            </w:r>
          </w:p>
        </w:tc>
        <w:tc>
          <w:tcPr>
            <w:tcW w:w="6878" w:type="dxa"/>
            <w:gridSpan w:val="3"/>
            <w:tcBorders>
              <w:top w:val="single" w:sz="4" w:space="0" w:color="auto"/>
              <w:left w:val="single" w:sz="2" w:space="0" w:color="auto"/>
              <w:bottom w:val="single" w:sz="4" w:space="0" w:color="auto"/>
            </w:tcBorders>
            <w:vAlign w:val="center"/>
          </w:tcPr>
          <w:p w:rsidR="00C76403" w:rsidRPr="009D00EF" w:rsidRDefault="00FB2BB0">
            <w:pPr>
              <w:jc w:val="center"/>
              <w:rPr>
                <w:rFonts w:ascii="宋体" w:hAnsi="宋体"/>
                <w:szCs w:val="21"/>
              </w:rPr>
            </w:pPr>
            <w:r w:rsidRPr="009D00EF">
              <w:rPr>
                <w:rFonts w:hint="eastAsia"/>
                <w:szCs w:val="21"/>
              </w:rPr>
              <w:t>子囊果呈球形至近球形，表面具有</w:t>
            </w:r>
            <w:r w:rsidRPr="009D00EF">
              <w:rPr>
                <w:rFonts w:ascii="宋体" w:hAnsi="宋体" w:hint="eastAsia"/>
                <w:szCs w:val="21"/>
              </w:rPr>
              <w:t>角锥状瘤突</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破损情况</w:t>
            </w:r>
          </w:p>
        </w:tc>
        <w:tc>
          <w:tcPr>
            <w:tcW w:w="2378" w:type="dxa"/>
            <w:tcBorders>
              <w:top w:val="single" w:sz="4" w:space="0" w:color="auto"/>
              <w:left w:val="single" w:sz="2" w:space="0" w:color="auto"/>
              <w:bottom w:val="single" w:sz="4" w:space="0" w:color="auto"/>
            </w:tcBorders>
            <w:vAlign w:val="center"/>
          </w:tcPr>
          <w:p w:rsidR="00C76403" w:rsidRPr="009D00EF" w:rsidRDefault="00FB2BB0">
            <w:pPr>
              <w:jc w:val="center"/>
              <w:rPr>
                <w:szCs w:val="21"/>
              </w:rPr>
            </w:pPr>
            <w:r w:rsidRPr="009D00EF">
              <w:rPr>
                <w:rFonts w:hint="eastAsia"/>
                <w:szCs w:val="21"/>
              </w:rPr>
              <w:t>无破损，允许有极轻微的表面缺陷，但不影响外观和品质</w:t>
            </w:r>
          </w:p>
        </w:tc>
        <w:tc>
          <w:tcPr>
            <w:tcW w:w="2400" w:type="dxa"/>
            <w:tcBorders>
              <w:top w:val="single" w:sz="4" w:space="0" w:color="auto"/>
              <w:left w:val="single" w:sz="2" w:space="0" w:color="auto"/>
              <w:bottom w:val="single" w:sz="4" w:space="0" w:color="auto"/>
            </w:tcBorders>
            <w:vAlign w:val="center"/>
          </w:tcPr>
          <w:p w:rsidR="00C76403" w:rsidRPr="009D00EF" w:rsidRDefault="00FB2BB0">
            <w:pPr>
              <w:jc w:val="center"/>
              <w:rPr>
                <w:szCs w:val="21"/>
              </w:rPr>
            </w:pPr>
            <w:r w:rsidRPr="009D00EF">
              <w:rPr>
                <w:rFonts w:hint="eastAsia"/>
                <w:szCs w:val="21"/>
              </w:rPr>
              <w:t>允许有轻微的表面损伤，单体损伤率不大于</w:t>
            </w:r>
            <w:r w:rsidRPr="009D00EF">
              <w:rPr>
                <w:rFonts w:hint="eastAsia"/>
                <w:szCs w:val="21"/>
              </w:rPr>
              <w:t xml:space="preserve"> </w:t>
            </w:r>
            <w:r w:rsidRPr="009D00EF">
              <w:rPr>
                <w:rFonts w:ascii="宋体" w:hAnsi="宋体" w:hint="eastAsia"/>
                <w:szCs w:val="21"/>
              </w:rPr>
              <w:t>5%，</w:t>
            </w:r>
            <w:r w:rsidRPr="009D00EF">
              <w:rPr>
                <w:rFonts w:hint="eastAsia"/>
                <w:szCs w:val="21"/>
              </w:rPr>
              <w:t>但不影响品质</w:t>
            </w:r>
          </w:p>
        </w:tc>
        <w:tc>
          <w:tcPr>
            <w:tcW w:w="2100" w:type="dxa"/>
            <w:tcBorders>
              <w:top w:val="single" w:sz="4" w:space="0" w:color="auto"/>
              <w:left w:val="single" w:sz="2" w:space="0" w:color="auto"/>
              <w:bottom w:val="single" w:sz="4" w:space="0" w:color="auto"/>
            </w:tcBorders>
            <w:vAlign w:val="center"/>
          </w:tcPr>
          <w:p w:rsidR="00C76403" w:rsidRPr="009D00EF" w:rsidRDefault="00FB2BB0">
            <w:pPr>
              <w:jc w:val="center"/>
              <w:rPr>
                <w:szCs w:val="21"/>
              </w:rPr>
            </w:pPr>
            <w:r w:rsidRPr="009D00EF">
              <w:rPr>
                <w:rFonts w:hint="eastAsia"/>
                <w:szCs w:val="21"/>
              </w:rPr>
              <w:t>允许有表面损伤，单体损伤率不大于</w:t>
            </w:r>
            <w:r w:rsidRPr="009D00EF">
              <w:rPr>
                <w:rFonts w:hint="eastAsia"/>
                <w:szCs w:val="21"/>
              </w:rPr>
              <w:t xml:space="preserve"> 1</w:t>
            </w:r>
            <w:r w:rsidRPr="009D00EF">
              <w:rPr>
                <w:rFonts w:ascii="宋体" w:hAnsi="宋体" w:hint="eastAsia"/>
                <w:szCs w:val="21"/>
              </w:rPr>
              <w:t>0%，</w:t>
            </w:r>
            <w:r w:rsidRPr="009D00EF">
              <w:rPr>
                <w:rFonts w:hint="eastAsia"/>
                <w:szCs w:val="21"/>
              </w:rPr>
              <w:t>但不影响品质</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4" w:space="0" w:color="auto"/>
              <w:right w:val="single" w:sz="2" w:space="0" w:color="auto"/>
            </w:tcBorders>
            <w:vAlign w:val="center"/>
          </w:tcPr>
          <w:p w:rsidR="00C76403" w:rsidRPr="009D00EF" w:rsidRDefault="00FB2BB0">
            <w:pPr>
              <w:jc w:val="center"/>
              <w:rPr>
                <w:rFonts w:ascii="宋体"/>
                <w:szCs w:val="21"/>
              </w:rPr>
            </w:pPr>
            <w:r w:rsidRPr="009D00EF">
              <w:rPr>
                <w:rFonts w:ascii="宋体" w:hAnsi="宋体" w:cs="Arial" w:hint="eastAsia"/>
                <w:bCs/>
                <w:kern w:val="0"/>
                <w:szCs w:val="21"/>
              </w:rPr>
              <w:t>子囊果最大直径</w:t>
            </w:r>
            <w:r w:rsidRPr="009D00EF">
              <w:rPr>
                <w:rFonts w:ascii="宋体" w:hAnsi="宋体" w:hint="eastAsia"/>
                <w:szCs w:val="21"/>
              </w:rPr>
              <w:t>φ</w:t>
            </w:r>
            <w:r w:rsidRPr="009D00EF">
              <w:rPr>
                <w:rFonts w:ascii="宋体" w:hAnsi="宋体" w:hint="eastAsia"/>
                <w:szCs w:val="21"/>
                <w:vertAlign w:val="subscript"/>
              </w:rPr>
              <w:t>max</w:t>
            </w:r>
            <w:r w:rsidRPr="009D00EF">
              <w:rPr>
                <w:rFonts w:ascii="宋体" w:hAnsi="宋体" w:hint="eastAsia"/>
                <w:szCs w:val="21"/>
              </w:rPr>
              <w:t>/cm</w:t>
            </w:r>
          </w:p>
        </w:tc>
        <w:tc>
          <w:tcPr>
            <w:tcW w:w="2378" w:type="dxa"/>
            <w:tcBorders>
              <w:top w:val="single" w:sz="4" w:space="0" w:color="auto"/>
              <w:left w:val="single" w:sz="2" w:space="0" w:color="auto"/>
              <w:bottom w:val="single" w:sz="4"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400" w:type="dxa"/>
            <w:tcBorders>
              <w:top w:val="single" w:sz="4" w:space="0" w:color="auto"/>
              <w:left w:val="single" w:sz="2" w:space="0" w:color="auto"/>
              <w:bottom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3.0</w:t>
            </w:r>
          </w:p>
        </w:tc>
        <w:tc>
          <w:tcPr>
            <w:tcW w:w="2100" w:type="dxa"/>
            <w:tcBorders>
              <w:top w:val="single" w:sz="4" w:space="0" w:color="auto"/>
              <w:left w:val="single" w:sz="2" w:space="0" w:color="auto"/>
              <w:bottom w:val="single" w:sz="4" w:space="0" w:color="auto"/>
            </w:tcBorders>
            <w:vAlign w:val="center"/>
          </w:tcPr>
          <w:p w:rsidR="00C76403" w:rsidRPr="009D00EF" w:rsidRDefault="00FB2BB0">
            <w:pPr>
              <w:pStyle w:val="10"/>
              <w:jc w:val="center"/>
              <w:rPr>
                <w:rFonts w:ascii="宋体" w:hAnsi="宋体"/>
              </w:rPr>
            </w:pPr>
            <w:r w:rsidRPr="009D00EF">
              <w:rPr>
                <w:rFonts w:ascii="宋体" w:hAnsi="宋体" w:hint="eastAsia"/>
              </w:rPr>
              <w:t>φ</w:t>
            </w:r>
            <w:r w:rsidRPr="009D00EF">
              <w:rPr>
                <w:rFonts w:ascii="宋体" w:hAnsi="宋体" w:hint="eastAsia"/>
                <w:vertAlign w:val="subscript"/>
              </w:rPr>
              <w:t xml:space="preserve">max </w:t>
            </w:r>
            <w:r w:rsidRPr="009D00EF">
              <w:rPr>
                <w:rFonts w:ascii="宋体" w:hAnsi="宋体" w:hint="eastAsia"/>
              </w:rPr>
              <w:t>≥ 2.0</w:t>
            </w:r>
          </w:p>
        </w:tc>
      </w:tr>
      <w:tr w:rsidR="009D00EF" w:rsidRPr="009D00EF">
        <w:trPr>
          <w:jc w:val="center"/>
        </w:trPr>
        <w:tc>
          <w:tcPr>
            <w:tcW w:w="924" w:type="dxa"/>
            <w:vMerge/>
            <w:tcBorders>
              <w:right w:val="single" w:sz="4" w:space="0" w:color="auto"/>
            </w:tcBorders>
            <w:vAlign w:val="center"/>
          </w:tcPr>
          <w:p w:rsidR="00C76403" w:rsidRPr="009D00EF" w:rsidRDefault="00C76403">
            <w:pPr>
              <w:jc w:val="center"/>
              <w:rPr>
                <w:rFonts w:hAnsi="宋体"/>
                <w:szCs w:val="21"/>
              </w:rPr>
            </w:pPr>
          </w:p>
        </w:tc>
        <w:tc>
          <w:tcPr>
            <w:tcW w:w="2421" w:type="dxa"/>
            <w:tcBorders>
              <w:top w:val="single" w:sz="4" w:space="0" w:color="auto"/>
              <w:left w:val="single" w:sz="4" w:space="0" w:color="auto"/>
              <w:bottom w:val="single" w:sz="12" w:space="0" w:color="auto"/>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成熟度</w:t>
            </w:r>
          </w:p>
        </w:tc>
        <w:tc>
          <w:tcPr>
            <w:tcW w:w="6878" w:type="dxa"/>
            <w:gridSpan w:val="3"/>
            <w:tcBorders>
              <w:top w:val="single" w:sz="4" w:space="0" w:color="auto"/>
              <w:left w:val="single" w:sz="2" w:space="0" w:color="auto"/>
              <w:bottom w:val="single" w:sz="12" w:space="0" w:color="auto"/>
            </w:tcBorders>
            <w:vAlign w:val="center"/>
          </w:tcPr>
          <w:p w:rsidR="00C76403" w:rsidRPr="009D00EF" w:rsidRDefault="00FB2BB0">
            <w:pPr>
              <w:jc w:val="center"/>
              <w:rPr>
                <w:rFonts w:ascii="宋体" w:hAnsi="宋体"/>
                <w:szCs w:val="21"/>
              </w:rPr>
            </w:pPr>
            <w:r w:rsidRPr="009D00EF">
              <w:rPr>
                <w:rFonts w:hint="eastAsia"/>
                <w:szCs w:val="21"/>
              </w:rPr>
              <w:t>子囊果表面暗红褐色至茶褐色；切面菌肉褐色至暗紫褐色，有大理石花纹</w:t>
            </w:r>
          </w:p>
        </w:tc>
      </w:tr>
    </w:tbl>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块菌（松露）鲜品等级的允许误差范围，各等级中破损情况和子囊果最大直径未达到该等级要求的产品超过取样重量的 5%，则一级降为二级，二级降为三级，三级降为等外级。</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（2）规格</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根据 GB/T 38697-2020 块菌（松露）鲜品质量等级规格 4.3.1 规定将块菌（松露）鲜品子囊果最大直径和子囊果重量划分为三种规格，应符合表 3 的规定。</w:t>
      </w:r>
    </w:p>
    <w:p w:rsidR="00C76403" w:rsidRDefault="00FB2BB0">
      <w:pPr>
        <w:jc w:val="center"/>
        <w:rPr>
          <w:rFonts w:ascii="仿宋_GB2312" w:eastAsia="仿宋_GB2312" w:hAnsi="黑体"/>
          <w:sz w:val="24"/>
        </w:rPr>
      </w:pPr>
      <w:r>
        <w:rPr>
          <w:rFonts w:ascii="仿宋_GB2312" w:eastAsia="仿宋_GB2312" w:hAnsi="黑体" w:hint="eastAsia"/>
          <w:sz w:val="24"/>
        </w:rPr>
        <w:t>表3 块菌（松露）鲜品规格划分</w:t>
      </w:r>
    </w:p>
    <w:tbl>
      <w:tblPr>
        <w:tblW w:w="9781"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4A0" w:firstRow="1" w:lastRow="0" w:firstColumn="1" w:lastColumn="0" w:noHBand="0" w:noVBand="1"/>
      </w:tblPr>
      <w:tblGrid>
        <w:gridCol w:w="1276"/>
        <w:gridCol w:w="2694"/>
        <w:gridCol w:w="1417"/>
        <w:gridCol w:w="2119"/>
        <w:gridCol w:w="2275"/>
      </w:tblGrid>
      <w:tr w:rsidR="009D00EF" w:rsidRPr="009D00EF">
        <w:tc>
          <w:tcPr>
            <w:tcW w:w="1276" w:type="dxa"/>
            <w:vMerge w:val="restart"/>
            <w:tcBorders>
              <w:right w:val="single" w:sz="2" w:space="0" w:color="auto"/>
            </w:tcBorders>
            <w:vAlign w:val="center"/>
          </w:tcPr>
          <w:p w:rsidR="00C76403" w:rsidRPr="009D00EF" w:rsidRDefault="00FB2BB0">
            <w:pPr>
              <w:jc w:val="center"/>
              <w:rPr>
                <w:rFonts w:ascii="宋体"/>
                <w:szCs w:val="21"/>
              </w:rPr>
            </w:pPr>
            <w:r w:rsidRPr="009D00EF">
              <w:rPr>
                <w:rFonts w:ascii="宋体" w:hint="eastAsia"/>
                <w:szCs w:val="21"/>
              </w:rPr>
              <w:t>种  类</w:t>
            </w:r>
          </w:p>
        </w:tc>
        <w:tc>
          <w:tcPr>
            <w:tcW w:w="2694" w:type="dxa"/>
            <w:vMerge w:val="restart"/>
            <w:tcBorders>
              <w:left w:val="single" w:sz="2"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项  目</w:t>
            </w:r>
          </w:p>
        </w:tc>
        <w:tc>
          <w:tcPr>
            <w:tcW w:w="5811" w:type="dxa"/>
            <w:gridSpan w:val="3"/>
            <w:tcBorders>
              <w:bottom w:val="single" w:sz="4" w:space="0" w:color="000000"/>
            </w:tcBorders>
            <w:vAlign w:val="center"/>
          </w:tcPr>
          <w:p w:rsidR="00C76403" w:rsidRPr="009D00EF" w:rsidRDefault="00FB2BB0">
            <w:pPr>
              <w:jc w:val="center"/>
              <w:rPr>
                <w:rFonts w:ascii="宋体" w:hAnsi="宋体"/>
              </w:rPr>
            </w:pPr>
            <w:r w:rsidRPr="009D00EF">
              <w:rPr>
                <w:rFonts w:ascii="宋体" w:hAnsi="宋体" w:hint="eastAsia"/>
              </w:rPr>
              <w:t>指    标</w:t>
            </w:r>
          </w:p>
        </w:tc>
      </w:tr>
      <w:tr w:rsidR="009D00EF" w:rsidRPr="009D00EF">
        <w:tc>
          <w:tcPr>
            <w:tcW w:w="1276" w:type="dxa"/>
            <w:vMerge/>
            <w:tcBorders>
              <w:right w:val="single" w:sz="2" w:space="0" w:color="auto"/>
            </w:tcBorders>
            <w:vAlign w:val="center"/>
          </w:tcPr>
          <w:p w:rsidR="00C76403" w:rsidRPr="009D00EF" w:rsidRDefault="00C76403">
            <w:pPr>
              <w:jc w:val="center"/>
              <w:rPr>
                <w:rFonts w:ascii="宋体"/>
                <w:szCs w:val="21"/>
              </w:rPr>
            </w:pPr>
          </w:p>
        </w:tc>
        <w:tc>
          <w:tcPr>
            <w:tcW w:w="2694" w:type="dxa"/>
            <w:vMerge/>
            <w:tcBorders>
              <w:left w:val="single" w:sz="2" w:space="0" w:color="auto"/>
              <w:bottom w:val="single" w:sz="4" w:space="0" w:color="000000"/>
            </w:tcBorders>
            <w:vAlign w:val="center"/>
          </w:tcPr>
          <w:p w:rsidR="00C76403" w:rsidRPr="009D00EF" w:rsidRDefault="00C76403">
            <w:pPr>
              <w:jc w:val="center"/>
              <w:rPr>
                <w:rFonts w:ascii="宋体" w:hAnsi="宋体"/>
                <w:szCs w:val="21"/>
              </w:rPr>
            </w:pPr>
          </w:p>
        </w:tc>
        <w:tc>
          <w:tcPr>
            <w:tcW w:w="1417"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大（L）</w:t>
            </w:r>
          </w:p>
        </w:tc>
        <w:tc>
          <w:tcPr>
            <w:tcW w:w="2119"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中（M）</w:t>
            </w:r>
          </w:p>
        </w:tc>
        <w:tc>
          <w:tcPr>
            <w:tcW w:w="2275"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小（S）</w:t>
            </w:r>
          </w:p>
        </w:tc>
      </w:tr>
      <w:tr w:rsidR="009D00EF" w:rsidRPr="009D00EF">
        <w:tc>
          <w:tcPr>
            <w:tcW w:w="1276" w:type="dxa"/>
            <w:vMerge w:val="restart"/>
            <w:tcBorders>
              <w:right w:val="single" w:sz="2" w:space="0" w:color="auto"/>
            </w:tcBorders>
            <w:vAlign w:val="center"/>
          </w:tcPr>
          <w:p w:rsidR="00C76403" w:rsidRPr="009D00EF" w:rsidRDefault="00FB2BB0">
            <w:pPr>
              <w:jc w:val="center"/>
              <w:rPr>
                <w:rFonts w:ascii="宋体" w:hAnsi="宋体"/>
                <w:szCs w:val="21"/>
              </w:rPr>
            </w:pPr>
            <w:r w:rsidRPr="009D00EF">
              <w:rPr>
                <w:rFonts w:ascii="宋体" w:hint="eastAsia"/>
                <w:szCs w:val="21"/>
              </w:rPr>
              <w:t>中华块菌/印度块菌</w:t>
            </w:r>
          </w:p>
        </w:tc>
        <w:tc>
          <w:tcPr>
            <w:tcW w:w="2694" w:type="dxa"/>
            <w:tcBorders>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子囊果最大直径 φ</w:t>
            </w:r>
            <w:r w:rsidRPr="009D00EF">
              <w:rPr>
                <w:rFonts w:ascii="宋体" w:hAnsi="宋体" w:hint="eastAsia"/>
                <w:szCs w:val="21"/>
                <w:vertAlign w:val="subscript"/>
              </w:rPr>
              <w:t xml:space="preserve">max </w:t>
            </w:r>
            <w:r w:rsidRPr="009D00EF">
              <w:rPr>
                <w:rFonts w:ascii="宋体" w:hAnsi="宋体" w:hint="eastAsia"/>
                <w:szCs w:val="21"/>
              </w:rPr>
              <w:t>/ cm</w:t>
            </w:r>
          </w:p>
        </w:tc>
        <w:tc>
          <w:tcPr>
            <w:tcW w:w="1417"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119"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3.0 ≤ φ</w:t>
            </w:r>
            <w:r w:rsidRPr="009D00EF">
              <w:rPr>
                <w:rFonts w:ascii="宋体" w:hAnsi="宋体" w:hint="eastAsia"/>
                <w:szCs w:val="21"/>
                <w:vertAlign w:val="subscript"/>
              </w:rPr>
              <w:t>max</w:t>
            </w:r>
            <w:r w:rsidRPr="009D00EF">
              <w:rPr>
                <w:rFonts w:ascii="宋体" w:hAnsi="宋体" w:hint="eastAsia"/>
                <w:szCs w:val="21"/>
              </w:rPr>
              <w:t xml:space="preserve"> ＜5.0</w:t>
            </w:r>
          </w:p>
        </w:tc>
        <w:tc>
          <w:tcPr>
            <w:tcW w:w="2275" w:type="dxa"/>
            <w:tcBorders>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rPr>
              <w:t xml:space="preserve">2.0 </w:t>
            </w:r>
            <w:r w:rsidRPr="009D00EF">
              <w:rPr>
                <w:rFonts w:ascii="宋体" w:hAnsi="宋体" w:hint="eastAsia"/>
                <w:szCs w:val="21"/>
              </w:rPr>
              <w:t>≤ 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3.0</w:t>
            </w:r>
          </w:p>
        </w:tc>
      </w:tr>
      <w:tr w:rsidR="009D00EF" w:rsidRPr="009D00EF">
        <w:trPr>
          <w:trHeight w:val="325"/>
        </w:trPr>
        <w:tc>
          <w:tcPr>
            <w:tcW w:w="1276" w:type="dxa"/>
            <w:vMerge/>
            <w:tcBorders>
              <w:bottom w:val="single" w:sz="4" w:space="0" w:color="000000"/>
              <w:right w:val="single" w:sz="2" w:space="0" w:color="auto"/>
            </w:tcBorders>
            <w:vAlign w:val="center"/>
          </w:tcPr>
          <w:p w:rsidR="00C76403" w:rsidRPr="009D00EF" w:rsidRDefault="00C76403">
            <w:pPr>
              <w:jc w:val="center"/>
              <w:rPr>
                <w:rFonts w:ascii="宋体" w:hAnsi="宋体"/>
                <w:szCs w:val="21"/>
              </w:rPr>
            </w:pP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w:t>
            </w:r>
            <w:r w:rsidRPr="009D00EF">
              <w:rPr>
                <w:rFonts w:hAnsi="宋体" w:cs="Arial" w:hint="eastAsia"/>
                <w:bCs/>
                <w:szCs w:val="21"/>
              </w:rPr>
              <w:t>重量</w:t>
            </w:r>
            <w:r w:rsidRPr="009D00EF">
              <w:rPr>
                <w:rFonts w:ascii="宋体" w:hAnsi="宋体" w:hint="eastAsia"/>
                <w:szCs w:val="21"/>
              </w:rPr>
              <w:t xml:space="preserve"> / g</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12.0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w:t>
            </w:r>
          </w:p>
        </w:tc>
      </w:tr>
      <w:tr w:rsidR="009D00EF" w:rsidRPr="009D00EF">
        <w:trPr>
          <w:trHeight w:val="325"/>
        </w:trPr>
        <w:tc>
          <w:tcPr>
            <w:tcW w:w="1276" w:type="dxa"/>
            <w:vMerge w:val="restart"/>
            <w:tcBorders>
              <w:top w:val="single" w:sz="4" w:space="0" w:color="000000"/>
              <w:right w:val="single" w:sz="2" w:space="0" w:color="auto"/>
            </w:tcBorders>
            <w:vAlign w:val="center"/>
          </w:tcPr>
          <w:p w:rsidR="00C76403" w:rsidRPr="009D00EF" w:rsidRDefault="00FB2BB0">
            <w:pPr>
              <w:jc w:val="center"/>
              <w:rPr>
                <w:rFonts w:ascii="宋体" w:hAnsi="宋体"/>
                <w:szCs w:val="21"/>
              </w:rPr>
            </w:pPr>
            <w:r w:rsidRPr="009D00EF">
              <w:rPr>
                <w:rFonts w:hAnsi="宋体" w:hint="eastAsia"/>
                <w:szCs w:val="21"/>
              </w:rPr>
              <w:t>假喜马拉雅块菌</w:t>
            </w: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子囊果最大直径 φ</w:t>
            </w:r>
            <w:r w:rsidRPr="009D00EF">
              <w:rPr>
                <w:rFonts w:ascii="宋体" w:hAnsi="宋体" w:hint="eastAsia"/>
                <w:szCs w:val="21"/>
                <w:vertAlign w:val="subscript"/>
              </w:rPr>
              <w:t xml:space="preserve">max </w:t>
            </w:r>
            <w:r w:rsidRPr="009D00EF">
              <w:rPr>
                <w:rFonts w:ascii="宋体" w:hAnsi="宋体" w:hint="eastAsia"/>
                <w:szCs w:val="21"/>
              </w:rPr>
              <w:t>/ cm</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4.0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rPr>
              <w:t xml:space="preserve">2.0 </w:t>
            </w:r>
            <w:r w:rsidRPr="009D00EF">
              <w:rPr>
                <w:rFonts w:ascii="宋体" w:hAnsi="宋体" w:hint="eastAsia"/>
                <w:szCs w:val="21"/>
              </w:rPr>
              <w:t>≤φ</w:t>
            </w:r>
            <w:r w:rsidRPr="009D00EF">
              <w:rPr>
                <w:rFonts w:ascii="宋体" w:hAnsi="宋体" w:hint="eastAsia"/>
                <w:szCs w:val="21"/>
                <w:vertAlign w:val="subscript"/>
              </w:rPr>
              <w:t>max</w:t>
            </w:r>
            <w:r w:rsidRPr="009D00EF">
              <w:rPr>
                <w:rFonts w:ascii="宋体" w:hAnsi="宋体" w:hint="eastAsia"/>
                <w:szCs w:val="21"/>
              </w:rPr>
              <w:t>＜</w:t>
            </w:r>
            <w:r w:rsidRPr="009D00EF">
              <w:rPr>
                <w:rFonts w:ascii="宋体" w:hAnsi="宋体" w:hint="eastAsia"/>
              </w:rPr>
              <w:t xml:space="preserve"> 4.0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rPr>
              <w:t xml:space="preserve">1.0 </w:t>
            </w:r>
            <w:r w:rsidRPr="009D00EF">
              <w:rPr>
                <w:rFonts w:ascii="宋体" w:hAnsi="宋体" w:hint="eastAsia"/>
                <w:szCs w:val="21"/>
              </w:rPr>
              <w:t>≤ 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2.0</w:t>
            </w:r>
          </w:p>
        </w:tc>
      </w:tr>
      <w:tr w:rsidR="009D00EF" w:rsidRPr="009D00EF">
        <w:trPr>
          <w:trHeight w:val="325"/>
        </w:trPr>
        <w:tc>
          <w:tcPr>
            <w:tcW w:w="1276" w:type="dxa"/>
            <w:vMerge/>
            <w:tcBorders>
              <w:bottom w:val="single" w:sz="4" w:space="0" w:color="000000"/>
              <w:right w:val="single" w:sz="2" w:space="0" w:color="auto"/>
            </w:tcBorders>
            <w:vAlign w:val="center"/>
          </w:tcPr>
          <w:p w:rsidR="00C76403" w:rsidRPr="009D00EF" w:rsidRDefault="00C76403">
            <w:pPr>
              <w:jc w:val="center"/>
              <w:rPr>
                <w:rFonts w:ascii="宋体" w:hAnsi="宋体"/>
                <w:szCs w:val="21"/>
              </w:rPr>
            </w:pP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w:t>
            </w:r>
            <w:r w:rsidRPr="009D00EF">
              <w:rPr>
                <w:rFonts w:hAnsi="宋体" w:cs="Arial" w:hint="eastAsia"/>
                <w:bCs/>
                <w:szCs w:val="21"/>
              </w:rPr>
              <w:t>重量</w:t>
            </w:r>
            <w:r w:rsidRPr="009D00EF">
              <w:rPr>
                <w:rFonts w:ascii="宋体" w:hAnsi="宋体" w:hint="eastAsia"/>
                <w:szCs w:val="21"/>
              </w:rPr>
              <w:t xml:space="preserve"> / g</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20.0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8.0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1.0</w:t>
            </w:r>
          </w:p>
        </w:tc>
      </w:tr>
      <w:tr w:rsidR="009D00EF" w:rsidRPr="009D00EF">
        <w:trPr>
          <w:trHeight w:val="325"/>
        </w:trPr>
        <w:tc>
          <w:tcPr>
            <w:tcW w:w="1276" w:type="dxa"/>
            <w:vMerge w:val="restart"/>
            <w:tcBorders>
              <w:top w:val="single" w:sz="4" w:space="0" w:color="000000"/>
              <w:right w:val="single" w:sz="2" w:space="0" w:color="auto"/>
            </w:tcBorders>
            <w:vAlign w:val="center"/>
          </w:tcPr>
          <w:p w:rsidR="00C76403" w:rsidRPr="009D00EF" w:rsidRDefault="00FB2BB0">
            <w:pPr>
              <w:jc w:val="center"/>
              <w:rPr>
                <w:rFonts w:ascii="宋体" w:hAnsi="宋体"/>
                <w:szCs w:val="21"/>
              </w:rPr>
            </w:pPr>
            <w:r w:rsidRPr="009D00EF">
              <w:rPr>
                <w:rFonts w:hAnsi="宋体" w:hint="eastAsia"/>
                <w:szCs w:val="21"/>
              </w:rPr>
              <w:t>中华夏块菌</w:t>
            </w: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子囊果最大直径 φ</w:t>
            </w:r>
            <w:r w:rsidRPr="009D00EF">
              <w:rPr>
                <w:rFonts w:ascii="宋体" w:hAnsi="宋体" w:hint="eastAsia"/>
                <w:szCs w:val="21"/>
                <w:vertAlign w:val="subscript"/>
              </w:rPr>
              <w:t xml:space="preserve">max </w:t>
            </w:r>
            <w:r w:rsidRPr="009D00EF">
              <w:rPr>
                <w:rFonts w:ascii="宋体" w:hAnsi="宋体" w:hint="eastAsia"/>
                <w:szCs w:val="21"/>
              </w:rPr>
              <w:t>/ cm</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3.0 ≤φ</w:t>
            </w:r>
            <w:r w:rsidRPr="009D00EF">
              <w:rPr>
                <w:rFonts w:ascii="宋体" w:hAnsi="宋体" w:hint="eastAsia"/>
                <w:szCs w:val="21"/>
                <w:vertAlign w:val="subscript"/>
              </w:rPr>
              <w:t>max</w:t>
            </w:r>
            <w:r w:rsidRPr="009D00EF">
              <w:rPr>
                <w:rFonts w:ascii="宋体" w:hAnsi="宋体" w:hint="eastAsia"/>
                <w:szCs w:val="21"/>
              </w:rPr>
              <w:t>＜ 5.0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rPr>
              <w:t xml:space="preserve">2.0 </w:t>
            </w:r>
            <w:r w:rsidRPr="009D00EF">
              <w:rPr>
                <w:rFonts w:ascii="宋体" w:hAnsi="宋体" w:hint="eastAsia"/>
                <w:szCs w:val="21"/>
              </w:rPr>
              <w:t>≤ 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3.0</w:t>
            </w:r>
          </w:p>
        </w:tc>
      </w:tr>
      <w:tr w:rsidR="009D00EF" w:rsidRPr="009D00EF">
        <w:trPr>
          <w:trHeight w:val="325"/>
        </w:trPr>
        <w:tc>
          <w:tcPr>
            <w:tcW w:w="1276" w:type="dxa"/>
            <w:vMerge/>
            <w:tcBorders>
              <w:bottom w:val="single" w:sz="4" w:space="0" w:color="000000"/>
              <w:right w:val="single" w:sz="2" w:space="0" w:color="auto"/>
            </w:tcBorders>
            <w:vAlign w:val="center"/>
          </w:tcPr>
          <w:p w:rsidR="00C76403" w:rsidRPr="009D00EF" w:rsidRDefault="00C76403">
            <w:pPr>
              <w:jc w:val="center"/>
              <w:rPr>
                <w:rFonts w:ascii="宋体" w:hAnsi="宋体"/>
                <w:szCs w:val="21"/>
              </w:rPr>
            </w:pP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w:t>
            </w:r>
            <w:r w:rsidRPr="009D00EF">
              <w:rPr>
                <w:rFonts w:hAnsi="宋体" w:cs="Arial" w:hint="eastAsia"/>
                <w:bCs/>
                <w:szCs w:val="21"/>
              </w:rPr>
              <w:t>重量</w:t>
            </w:r>
            <w:r w:rsidRPr="009D00EF">
              <w:rPr>
                <w:rFonts w:ascii="宋体" w:hAnsi="宋体" w:hint="eastAsia"/>
                <w:szCs w:val="21"/>
              </w:rPr>
              <w:t xml:space="preserve"> / g </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12.0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w:t>
            </w:r>
          </w:p>
        </w:tc>
      </w:tr>
      <w:tr w:rsidR="009D00EF" w:rsidRPr="009D00EF">
        <w:trPr>
          <w:trHeight w:val="325"/>
        </w:trPr>
        <w:tc>
          <w:tcPr>
            <w:tcW w:w="1276" w:type="dxa"/>
            <w:vMerge w:val="restart"/>
            <w:tcBorders>
              <w:top w:val="single" w:sz="4" w:space="0" w:color="000000"/>
              <w:right w:val="single" w:sz="2" w:space="0" w:color="auto"/>
            </w:tcBorders>
            <w:vAlign w:val="center"/>
          </w:tcPr>
          <w:p w:rsidR="00C76403" w:rsidRPr="009D00EF" w:rsidRDefault="00FB2BB0">
            <w:pPr>
              <w:jc w:val="center"/>
              <w:rPr>
                <w:rFonts w:ascii="宋体" w:hAnsi="宋体"/>
                <w:szCs w:val="21"/>
              </w:rPr>
            </w:pPr>
            <w:r w:rsidRPr="009D00EF">
              <w:rPr>
                <w:rFonts w:hAnsi="宋体" w:hint="eastAsia"/>
                <w:szCs w:val="21"/>
              </w:rPr>
              <w:t>台湾块菌</w:t>
            </w:r>
          </w:p>
        </w:tc>
        <w:tc>
          <w:tcPr>
            <w:tcW w:w="2694" w:type="dxa"/>
            <w:tcBorders>
              <w:top w:val="single" w:sz="4" w:space="0" w:color="000000"/>
              <w:left w:val="single" w:sz="2" w:space="0" w:color="auto"/>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子囊果最大直径 φ</w:t>
            </w:r>
            <w:r w:rsidRPr="009D00EF">
              <w:rPr>
                <w:rFonts w:ascii="宋体" w:hAnsi="宋体" w:hint="eastAsia"/>
                <w:szCs w:val="21"/>
                <w:vertAlign w:val="subscript"/>
              </w:rPr>
              <w:t xml:space="preserve">max </w:t>
            </w:r>
            <w:r w:rsidRPr="009D00EF">
              <w:rPr>
                <w:rFonts w:ascii="宋体" w:hAnsi="宋体" w:hint="eastAsia"/>
                <w:szCs w:val="21"/>
              </w:rPr>
              <w:t>/ cm</w:t>
            </w:r>
          </w:p>
        </w:tc>
        <w:tc>
          <w:tcPr>
            <w:tcW w:w="1417"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φ</w:t>
            </w:r>
            <w:r w:rsidRPr="009D00EF">
              <w:rPr>
                <w:rFonts w:ascii="宋体" w:hAnsi="宋体" w:hint="eastAsia"/>
                <w:szCs w:val="21"/>
                <w:vertAlign w:val="subscript"/>
              </w:rPr>
              <w:t xml:space="preserve">max </w:t>
            </w:r>
            <w:r w:rsidRPr="009D00EF">
              <w:rPr>
                <w:rFonts w:ascii="宋体" w:hAnsi="宋体" w:hint="eastAsia"/>
                <w:szCs w:val="21"/>
              </w:rPr>
              <w:t>≥ 5.0</w:t>
            </w:r>
          </w:p>
        </w:tc>
        <w:tc>
          <w:tcPr>
            <w:tcW w:w="2119"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3.0 ≤φ</w:t>
            </w:r>
            <w:r w:rsidRPr="009D00EF">
              <w:rPr>
                <w:rFonts w:ascii="宋体" w:hAnsi="宋体" w:hint="eastAsia"/>
                <w:szCs w:val="21"/>
                <w:vertAlign w:val="subscript"/>
              </w:rPr>
              <w:t>max</w:t>
            </w:r>
            <w:r w:rsidRPr="009D00EF">
              <w:rPr>
                <w:rFonts w:ascii="宋体" w:hAnsi="宋体" w:hint="eastAsia"/>
                <w:szCs w:val="21"/>
              </w:rPr>
              <w:t>＜5.0</w:t>
            </w:r>
          </w:p>
        </w:tc>
        <w:tc>
          <w:tcPr>
            <w:tcW w:w="2275" w:type="dxa"/>
            <w:tcBorders>
              <w:top w:val="single" w:sz="4" w:space="0" w:color="000000"/>
              <w:bottom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rPr>
              <w:t xml:space="preserve">2.0 </w:t>
            </w:r>
            <w:r w:rsidRPr="009D00EF">
              <w:rPr>
                <w:rFonts w:ascii="宋体" w:hAnsi="宋体" w:hint="eastAsia"/>
                <w:szCs w:val="21"/>
              </w:rPr>
              <w:t>≤ φ</w:t>
            </w:r>
            <w:r w:rsidRPr="009D00EF">
              <w:rPr>
                <w:rFonts w:ascii="宋体" w:hAnsi="宋体" w:hint="eastAsia"/>
                <w:szCs w:val="21"/>
                <w:vertAlign w:val="subscript"/>
              </w:rPr>
              <w:t xml:space="preserve">max </w:t>
            </w:r>
            <w:r w:rsidRPr="009D00EF">
              <w:rPr>
                <w:rFonts w:ascii="宋体" w:hAnsi="宋体" w:hint="eastAsia"/>
                <w:szCs w:val="21"/>
              </w:rPr>
              <w:t xml:space="preserve">＜ </w:t>
            </w:r>
            <w:r w:rsidRPr="009D00EF">
              <w:rPr>
                <w:rFonts w:ascii="宋体" w:hAnsi="宋体" w:hint="eastAsia"/>
              </w:rPr>
              <w:t>3.0</w:t>
            </w:r>
          </w:p>
        </w:tc>
      </w:tr>
      <w:tr w:rsidR="009D00EF" w:rsidRPr="009D00EF">
        <w:trPr>
          <w:trHeight w:val="325"/>
        </w:trPr>
        <w:tc>
          <w:tcPr>
            <w:tcW w:w="1276" w:type="dxa"/>
            <w:vMerge/>
            <w:tcBorders>
              <w:right w:val="single" w:sz="2" w:space="0" w:color="auto"/>
            </w:tcBorders>
            <w:vAlign w:val="center"/>
          </w:tcPr>
          <w:p w:rsidR="00C76403" w:rsidRPr="009D00EF" w:rsidRDefault="00C76403">
            <w:pPr>
              <w:jc w:val="center"/>
              <w:rPr>
                <w:rFonts w:ascii="宋体" w:hAnsi="宋体"/>
                <w:szCs w:val="21"/>
              </w:rPr>
            </w:pPr>
          </w:p>
        </w:tc>
        <w:tc>
          <w:tcPr>
            <w:tcW w:w="2694" w:type="dxa"/>
            <w:tcBorders>
              <w:top w:val="single" w:sz="4" w:space="0" w:color="000000"/>
              <w:left w:val="single" w:sz="2" w:space="0" w:color="auto"/>
            </w:tcBorders>
            <w:vAlign w:val="center"/>
          </w:tcPr>
          <w:p w:rsidR="00C76403" w:rsidRPr="009D00EF" w:rsidRDefault="00FB2BB0">
            <w:pPr>
              <w:jc w:val="center"/>
              <w:rPr>
                <w:rFonts w:ascii="宋体" w:hAnsi="宋体"/>
                <w:szCs w:val="21"/>
              </w:rPr>
            </w:pPr>
            <w:r w:rsidRPr="009D00EF">
              <w:rPr>
                <w:rFonts w:ascii="宋体" w:hAnsi="宋体" w:hint="eastAsia"/>
                <w:szCs w:val="21"/>
              </w:rPr>
              <w:t>子囊果</w:t>
            </w:r>
            <w:r w:rsidRPr="009D00EF">
              <w:rPr>
                <w:rFonts w:hAnsi="宋体" w:cs="Arial" w:hint="eastAsia"/>
                <w:bCs/>
                <w:szCs w:val="21"/>
              </w:rPr>
              <w:t>重量</w:t>
            </w:r>
            <w:r w:rsidRPr="009D00EF">
              <w:rPr>
                <w:rFonts w:ascii="宋体" w:hAnsi="宋体" w:hint="eastAsia"/>
                <w:szCs w:val="21"/>
              </w:rPr>
              <w:t xml:space="preserve"> / g</w:t>
            </w:r>
          </w:p>
        </w:tc>
        <w:tc>
          <w:tcPr>
            <w:tcW w:w="1417" w:type="dxa"/>
            <w:tcBorders>
              <w:top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30.0</w:t>
            </w:r>
          </w:p>
        </w:tc>
        <w:tc>
          <w:tcPr>
            <w:tcW w:w="2119" w:type="dxa"/>
            <w:tcBorders>
              <w:top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12.0</w:t>
            </w:r>
          </w:p>
        </w:tc>
        <w:tc>
          <w:tcPr>
            <w:tcW w:w="2275" w:type="dxa"/>
            <w:tcBorders>
              <w:top w:val="single" w:sz="4" w:space="0" w:color="000000"/>
            </w:tcBorders>
            <w:vAlign w:val="center"/>
          </w:tcPr>
          <w:p w:rsidR="00C76403" w:rsidRPr="009D00EF" w:rsidRDefault="00FB2BB0">
            <w:pPr>
              <w:jc w:val="center"/>
              <w:rPr>
                <w:rFonts w:ascii="宋体" w:hAnsi="宋体"/>
                <w:szCs w:val="21"/>
              </w:rPr>
            </w:pPr>
            <w:r w:rsidRPr="009D00EF">
              <w:rPr>
                <w:rFonts w:ascii="宋体" w:hAnsi="宋体" w:hint="eastAsia"/>
                <w:szCs w:val="21"/>
              </w:rPr>
              <w:t>≥ 3.0</w:t>
            </w:r>
          </w:p>
        </w:tc>
      </w:tr>
    </w:tbl>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规格的允许误差范围，各规格中子囊果最大直径和子囊果重量未达到该规格要求的产品超过取样重量的 5%，则大（L）降为中（M），中（M）降为小（S），小（S）降为等</w:t>
      </w:r>
      <w:r>
        <w:rPr>
          <w:rFonts w:ascii="仿宋_GB2312" w:eastAsia="仿宋_GB2312" w:hAnsi="宋体" w:hint="eastAsia"/>
          <w:sz w:val="32"/>
          <w:szCs w:val="32"/>
        </w:rPr>
        <w:lastRenderedPageBreak/>
        <w:t>外。</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3 保鲜技术分析</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鲜食用菌组织脆嫩，容易受到机械损伤、感染微生物、失水，出现菌体褐变、异味、腐烂等问题，商品性降低，造成经济损失。目前食用菌贮藏研究主要集中在调节呼吸作用、控制水分抑制新陈代谢延缓变质时间，延长保鲜期，常见保鲜方法有低温、气调、辐照、紫外、电子束、射线、微波、化学、包装等，在实际应用中，多个方法结合控制食用菌生理生化变化延长保鲜期较为常见。块菌（松露）生长于地下，环境特殊，子囊果内部结构独特，采后旺盛的新陈代谢及呼吸作用，导致鲜块菌（松露）极易腐烂变质，失去营养作用，传统的贮藏采用低温、气调、保鲜剂等保鲜方式延长货架期或采用速冻、干燥等加工方式延长贮藏期，增加附加值。但是速冻品的解冻后芳香物质流失严重，质地软化，干品芳香物质流失或转化，口感、营养价值、经济价值和鲜品相比有一定差异，所以解决采后保鲜，有效延长保鲜期，是块菌（松露）提质增效发展的有效手段之一。</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块菌（松露）保鲜是从业者、爱好者的研究热点，在已有报道中，多以低温、添加剂处理结合气调或真空包装贮藏为主，比如</w:t>
      </w:r>
      <w:r w:rsidR="009D00EF">
        <w:rPr>
          <w:rFonts w:ascii="仿宋_GB2312" w:eastAsia="仿宋_GB2312" w:hAnsi="宋体"/>
          <w:sz w:val="32"/>
          <w:szCs w:val="32"/>
        </w:rPr>
        <w:t>Elena</w:t>
      </w:r>
      <w:r>
        <w:rPr>
          <w:rFonts w:ascii="仿宋_GB2312" w:eastAsia="仿宋_GB2312" w:hAnsi="宋体" w:hint="eastAsia"/>
          <w:sz w:val="32"/>
          <w:szCs w:val="32"/>
        </w:rPr>
        <w:t>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4</w:t>
      </w:r>
      <w:r>
        <w:rPr>
          <w:rFonts w:ascii="仿宋_GB2312" w:eastAsia="仿宋_GB2312" w:hAnsi="宋体"/>
          <w:sz w:val="32"/>
          <w:szCs w:val="32"/>
          <w:vertAlign w:val="superscript"/>
        </w:rPr>
        <w:t>]</w:t>
      </w:r>
      <w:r>
        <w:rPr>
          <w:rFonts w:ascii="仿宋_GB2312" w:eastAsia="仿宋_GB2312" w:hAnsi="宋体" w:hint="eastAsia"/>
          <w:sz w:val="32"/>
          <w:szCs w:val="32"/>
        </w:rPr>
        <w:t>利用</w:t>
      </w:r>
      <w:r w:rsidR="009D00EF">
        <w:rPr>
          <w:rFonts w:ascii="仿宋_GB2312" w:eastAsia="仿宋_GB2312" w:hAnsi="宋体"/>
          <w:sz w:val="32"/>
          <w:szCs w:val="32"/>
        </w:rPr>
        <w:t>2.5 mg/mL</w:t>
      </w:r>
      <w:r>
        <w:rPr>
          <w:rFonts w:ascii="仿宋_GB2312" w:eastAsia="仿宋_GB2312" w:hAnsi="宋体" w:hint="eastAsia"/>
          <w:sz w:val="32"/>
          <w:szCs w:val="32"/>
        </w:rPr>
        <w:t>没食子酸处理黑</w:t>
      </w:r>
      <w:proofErr w:type="gramStart"/>
      <w:r>
        <w:rPr>
          <w:rFonts w:ascii="仿宋_GB2312" w:eastAsia="仿宋_GB2312" w:hAnsi="宋体" w:hint="eastAsia"/>
          <w:sz w:val="32"/>
          <w:szCs w:val="32"/>
        </w:rPr>
        <w:t>孢</w:t>
      </w:r>
      <w:proofErr w:type="gramEnd"/>
      <w:r>
        <w:rPr>
          <w:rFonts w:ascii="仿宋_GB2312" w:eastAsia="仿宋_GB2312" w:hAnsi="宋体" w:hint="eastAsia"/>
          <w:sz w:val="32"/>
          <w:szCs w:val="32"/>
        </w:rPr>
        <w:t>块菌后置于</w:t>
      </w:r>
      <w:r>
        <w:rPr>
          <w:rFonts w:ascii="仿宋_GB2312" w:eastAsia="仿宋_GB2312" w:hAnsi="宋体"/>
          <w:sz w:val="32"/>
          <w:szCs w:val="32"/>
        </w:rPr>
        <w:t xml:space="preserve">4 </w:t>
      </w:r>
      <w:r>
        <w:rPr>
          <w:rFonts w:ascii="仿宋_GB2312" w:eastAsia="仿宋_GB2312" w:hAnsi="宋体" w:hint="eastAsia"/>
          <w:sz w:val="32"/>
          <w:szCs w:val="32"/>
        </w:rPr>
        <w:t>℃冷藏保鲜，其货架期可达</w:t>
      </w:r>
      <w:r w:rsidR="009D00EF">
        <w:rPr>
          <w:rFonts w:ascii="仿宋_GB2312" w:eastAsia="仿宋_GB2312" w:hAnsi="宋体"/>
          <w:sz w:val="32"/>
          <w:szCs w:val="32"/>
        </w:rPr>
        <w:t>28</w:t>
      </w:r>
      <w:r>
        <w:rPr>
          <w:rFonts w:ascii="仿宋_GB2312" w:eastAsia="仿宋_GB2312" w:hAnsi="宋体"/>
          <w:sz w:val="32"/>
          <w:szCs w:val="32"/>
        </w:rPr>
        <w:t>d</w:t>
      </w:r>
      <w:r>
        <w:rPr>
          <w:rFonts w:ascii="仿宋_GB2312" w:eastAsia="仿宋_GB2312" w:hAnsi="宋体" w:hint="eastAsia"/>
          <w:sz w:val="32"/>
          <w:szCs w:val="32"/>
        </w:rPr>
        <w:t>，</w:t>
      </w:r>
      <w:proofErr w:type="spellStart"/>
      <w:r w:rsidR="009D00EF">
        <w:rPr>
          <w:rFonts w:ascii="仿宋_GB2312" w:eastAsia="仿宋_GB2312" w:hAnsi="宋体"/>
          <w:sz w:val="32"/>
          <w:szCs w:val="32"/>
        </w:rPr>
        <w:t>Choo</w:t>
      </w:r>
      <w:proofErr w:type="spellEnd"/>
      <w:r>
        <w:rPr>
          <w:rFonts w:ascii="仿宋_GB2312" w:eastAsia="仿宋_GB2312" w:hAnsi="宋体" w:hint="eastAsia"/>
          <w:sz w:val="32"/>
          <w:szCs w:val="32"/>
        </w:rPr>
        <w:t>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5</w:t>
      </w:r>
      <w:r>
        <w:rPr>
          <w:rFonts w:ascii="仿宋_GB2312" w:eastAsia="仿宋_GB2312" w:hAnsi="宋体"/>
          <w:sz w:val="32"/>
          <w:szCs w:val="32"/>
          <w:vertAlign w:val="superscript"/>
        </w:rPr>
        <w:t>]</w:t>
      </w:r>
      <w:r>
        <w:rPr>
          <w:rFonts w:ascii="仿宋_GB2312" w:eastAsia="仿宋_GB2312" w:hAnsi="宋体" w:hint="eastAsia"/>
          <w:sz w:val="32"/>
          <w:szCs w:val="32"/>
        </w:rPr>
        <w:t xml:space="preserve">采用 </w:t>
      </w:r>
      <w:r w:rsidR="009D00EF">
        <w:rPr>
          <w:rFonts w:ascii="仿宋_GB2312" w:eastAsia="仿宋_GB2312" w:hAnsi="宋体"/>
          <w:sz w:val="32"/>
          <w:szCs w:val="32"/>
        </w:rPr>
        <w:t>400mg/L</w:t>
      </w:r>
      <w:r>
        <w:rPr>
          <w:rFonts w:ascii="仿宋_GB2312" w:eastAsia="仿宋_GB2312" w:hAnsi="宋体" w:hint="eastAsia"/>
          <w:sz w:val="32"/>
          <w:szCs w:val="32"/>
        </w:rPr>
        <w:t>壳聚糖</w:t>
      </w:r>
      <w:r>
        <w:rPr>
          <w:rFonts w:ascii="仿宋_GB2312" w:eastAsia="仿宋_GB2312" w:hAnsi="宋体"/>
          <w:sz w:val="32"/>
          <w:szCs w:val="32"/>
        </w:rPr>
        <w:t>-</w:t>
      </w:r>
      <w:r>
        <w:rPr>
          <w:rFonts w:ascii="仿宋_GB2312" w:eastAsia="仿宋_GB2312" w:hAnsi="宋体" w:hint="eastAsia"/>
          <w:sz w:val="32"/>
          <w:szCs w:val="32"/>
        </w:rPr>
        <w:t>纳他霉素对鲜澳大利亚黑块菌进行涂膜处</w:t>
      </w:r>
      <w:r>
        <w:rPr>
          <w:rFonts w:ascii="仿宋_GB2312" w:eastAsia="仿宋_GB2312" w:hAnsi="宋体" w:hint="eastAsia"/>
          <w:sz w:val="32"/>
          <w:szCs w:val="32"/>
        </w:rPr>
        <w:lastRenderedPageBreak/>
        <w:t>理，有效降低了块菌微生物数量，将货架期延长至</w:t>
      </w:r>
      <w:r w:rsidR="009D00EF">
        <w:rPr>
          <w:rFonts w:ascii="仿宋_GB2312" w:eastAsia="仿宋_GB2312" w:hAnsi="宋体"/>
          <w:sz w:val="32"/>
          <w:szCs w:val="32"/>
        </w:rPr>
        <w:t>28</w:t>
      </w:r>
      <w:r>
        <w:rPr>
          <w:rFonts w:ascii="仿宋_GB2312" w:eastAsia="仿宋_GB2312" w:hAnsi="宋体"/>
          <w:sz w:val="32"/>
          <w:szCs w:val="32"/>
        </w:rPr>
        <w:t>d</w:t>
      </w:r>
      <w:r>
        <w:rPr>
          <w:rFonts w:ascii="仿宋_GB2312" w:eastAsia="仿宋_GB2312" w:hAnsi="宋体" w:hint="eastAsia"/>
          <w:sz w:val="32"/>
          <w:szCs w:val="32"/>
        </w:rPr>
        <w:t>；</w:t>
      </w:r>
      <w:r w:rsidR="009D00EF">
        <w:rPr>
          <w:rFonts w:ascii="仿宋_GB2312" w:eastAsia="仿宋_GB2312" w:hAnsi="宋体"/>
          <w:sz w:val="32"/>
          <w:szCs w:val="32"/>
        </w:rPr>
        <w:t>Sara</w:t>
      </w:r>
      <w:r>
        <w:rPr>
          <w:rFonts w:ascii="仿宋_GB2312" w:eastAsia="仿宋_GB2312" w:hAnsi="宋体" w:hint="eastAsia"/>
          <w:sz w:val="32"/>
          <w:szCs w:val="32"/>
        </w:rPr>
        <w:t>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6</w:t>
      </w:r>
      <w:r>
        <w:rPr>
          <w:rFonts w:ascii="仿宋_GB2312" w:eastAsia="仿宋_GB2312" w:hAnsi="宋体"/>
          <w:sz w:val="32"/>
          <w:szCs w:val="32"/>
          <w:vertAlign w:val="superscript"/>
        </w:rPr>
        <w:t>]</w:t>
      </w:r>
      <w:r>
        <w:rPr>
          <w:rFonts w:ascii="仿宋_GB2312" w:eastAsia="仿宋_GB2312" w:hAnsi="宋体" w:hint="eastAsia"/>
          <w:sz w:val="32"/>
          <w:szCs w:val="32"/>
        </w:rPr>
        <w:t>采用复配的混合气体于聚丙烯容器中</w:t>
      </w:r>
      <w:r w:rsidR="009D00EF">
        <w:rPr>
          <w:rFonts w:ascii="仿宋_GB2312" w:eastAsia="仿宋_GB2312" w:hAnsi="宋体"/>
          <w:sz w:val="32"/>
          <w:szCs w:val="32"/>
        </w:rPr>
        <w:t>30kPa</w:t>
      </w:r>
      <w:r>
        <w:rPr>
          <w:rFonts w:ascii="仿宋_GB2312" w:eastAsia="仿宋_GB2312" w:hAnsi="宋体" w:hint="eastAsia"/>
          <w:sz w:val="32"/>
          <w:szCs w:val="32"/>
        </w:rPr>
        <w:t>包装鲜黑</w:t>
      </w:r>
      <w:proofErr w:type="gramStart"/>
      <w:r>
        <w:rPr>
          <w:rFonts w:ascii="仿宋_GB2312" w:eastAsia="仿宋_GB2312" w:hAnsi="宋体" w:hint="eastAsia"/>
          <w:sz w:val="32"/>
          <w:szCs w:val="32"/>
        </w:rPr>
        <w:t>孢</w:t>
      </w:r>
      <w:proofErr w:type="gramEnd"/>
      <w:r>
        <w:rPr>
          <w:rFonts w:ascii="仿宋_GB2312" w:eastAsia="仿宋_GB2312" w:hAnsi="宋体" w:hint="eastAsia"/>
          <w:sz w:val="32"/>
          <w:szCs w:val="32"/>
        </w:rPr>
        <w:t>块菌后冷藏，其货架期延长至</w:t>
      </w:r>
      <w:r w:rsidR="009D00EF">
        <w:rPr>
          <w:rFonts w:ascii="仿宋_GB2312" w:eastAsia="仿宋_GB2312" w:hAnsi="宋体"/>
          <w:sz w:val="32"/>
          <w:szCs w:val="32"/>
        </w:rPr>
        <w:t>28</w:t>
      </w:r>
      <w:r>
        <w:rPr>
          <w:rFonts w:ascii="仿宋_GB2312" w:eastAsia="仿宋_GB2312" w:hAnsi="宋体"/>
          <w:sz w:val="32"/>
          <w:szCs w:val="32"/>
        </w:rPr>
        <w:t>d</w:t>
      </w:r>
      <w:r w:rsidR="009D00EF">
        <w:rPr>
          <w:rFonts w:ascii="仿宋_GB2312" w:eastAsia="仿宋_GB2312" w:hAnsi="宋体" w:hint="eastAsia"/>
          <w:sz w:val="32"/>
          <w:szCs w:val="32"/>
        </w:rPr>
        <w:t>；</w:t>
      </w:r>
      <w:r>
        <w:rPr>
          <w:rFonts w:ascii="仿宋_GB2312" w:eastAsia="仿宋_GB2312" w:hAnsi="宋体" w:hint="eastAsia"/>
          <w:sz w:val="32"/>
          <w:szCs w:val="32"/>
        </w:rPr>
        <w:t>采用复合食品添加剂处理后真空包装于</w:t>
      </w:r>
      <w:r w:rsidR="009D00EF">
        <w:rPr>
          <w:rFonts w:ascii="仿宋_GB2312" w:eastAsia="仿宋_GB2312" w:hAnsi="宋体"/>
          <w:sz w:val="32"/>
          <w:szCs w:val="32"/>
        </w:rPr>
        <w:t>4</w:t>
      </w:r>
      <w:r>
        <w:rPr>
          <w:rFonts w:ascii="仿宋_GB2312" w:eastAsia="仿宋_GB2312" w:hAnsi="宋体" w:hint="eastAsia"/>
          <w:sz w:val="32"/>
          <w:szCs w:val="32"/>
        </w:rPr>
        <w:t>℃贮藏鲜印度块菌其货架期延长至</w:t>
      </w:r>
      <w:r w:rsidR="009D00EF">
        <w:rPr>
          <w:rFonts w:ascii="仿宋_GB2312" w:eastAsia="仿宋_GB2312" w:hAnsi="宋体"/>
          <w:sz w:val="32"/>
          <w:szCs w:val="32"/>
        </w:rPr>
        <w:t>49</w:t>
      </w:r>
      <w:r>
        <w:rPr>
          <w:rFonts w:ascii="仿宋_GB2312" w:eastAsia="仿宋_GB2312" w:hAnsi="宋体"/>
          <w:sz w:val="32"/>
          <w:szCs w:val="32"/>
        </w:rPr>
        <w:t>d</w:t>
      </w:r>
      <w:r>
        <w:rPr>
          <w:rFonts w:ascii="仿宋_GB2312" w:eastAsia="仿宋_GB2312" w:hAnsi="宋体" w:hint="eastAsia"/>
          <w:sz w:val="32"/>
          <w:szCs w:val="32"/>
        </w:rPr>
        <w:t>。蒋方国等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7</w:t>
      </w:r>
      <w:r>
        <w:rPr>
          <w:rFonts w:ascii="仿宋_GB2312" w:eastAsia="仿宋_GB2312" w:hAnsi="宋体"/>
          <w:sz w:val="32"/>
          <w:szCs w:val="32"/>
          <w:vertAlign w:val="superscript"/>
        </w:rPr>
        <w:t>]</w:t>
      </w:r>
      <w:r>
        <w:rPr>
          <w:rFonts w:ascii="仿宋_GB2312" w:eastAsia="仿宋_GB2312" w:hAnsi="宋体" w:hint="eastAsia"/>
          <w:sz w:val="32"/>
          <w:szCs w:val="32"/>
        </w:rPr>
        <w:t>采用PP保鲜盒（底部垫一层吸潮纸），装量1/4，双层PE薄膜封口，</w:t>
      </w:r>
      <w:r w:rsidR="009D00EF">
        <w:rPr>
          <w:rFonts w:ascii="仿宋_GB2312" w:eastAsia="仿宋_GB2312" w:hAnsi="宋体" w:hint="eastAsia"/>
          <w:sz w:val="32"/>
          <w:szCs w:val="32"/>
        </w:rPr>
        <w:t>40%</w:t>
      </w:r>
      <w:r>
        <w:rPr>
          <w:rFonts w:ascii="仿宋_GB2312" w:eastAsia="仿宋_GB2312" w:hAnsi="宋体" w:hint="eastAsia"/>
          <w:sz w:val="32"/>
          <w:szCs w:val="32"/>
        </w:rPr>
        <w:t>O</w:t>
      </w:r>
      <w:r>
        <w:rPr>
          <w:rFonts w:ascii="仿宋_GB2312" w:eastAsia="仿宋_GB2312" w:hAnsi="宋体" w:hint="eastAsia"/>
          <w:sz w:val="32"/>
          <w:szCs w:val="32"/>
          <w:vertAlign w:val="subscript"/>
        </w:rPr>
        <w:t>2</w:t>
      </w:r>
      <w:r w:rsidR="009D00EF">
        <w:rPr>
          <w:rFonts w:ascii="仿宋_GB2312" w:eastAsia="仿宋_GB2312" w:hAnsi="宋体" w:hint="eastAsia"/>
          <w:sz w:val="32"/>
          <w:szCs w:val="32"/>
        </w:rPr>
        <w:t>+60%</w:t>
      </w:r>
      <w:r>
        <w:rPr>
          <w:rFonts w:ascii="仿宋_GB2312" w:eastAsia="仿宋_GB2312" w:hAnsi="宋体" w:hint="eastAsia"/>
          <w:sz w:val="32"/>
          <w:szCs w:val="32"/>
        </w:rPr>
        <w:t>CO</w:t>
      </w:r>
      <w:r>
        <w:rPr>
          <w:rFonts w:ascii="仿宋_GB2312" w:eastAsia="仿宋_GB2312" w:hAnsi="宋体" w:hint="eastAsia"/>
          <w:sz w:val="32"/>
          <w:szCs w:val="32"/>
          <w:vertAlign w:val="subscript"/>
        </w:rPr>
        <w:t>2</w:t>
      </w:r>
      <w:r>
        <w:rPr>
          <w:rFonts w:ascii="仿宋_GB2312" w:eastAsia="仿宋_GB2312" w:hAnsi="宋体" w:hint="eastAsia"/>
          <w:sz w:val="32"/>
          <w:szCs w:val="32"/>
        </w:rPr>
        <w:t>于4℃、相对湿度90%</w:t>
      </w:r>
      <w:r>
        <w:rPr>
          <w:rFonts w:ascii="宋体" w:eastAsia="宋体" w:hAnsi="宋体" w:cs="宋体" w:hint="eastAsia"/>
          <w:sz w:val="32"/>
          <w:szCs w:val="32"/>
        </w:rPr>
        <w:t>～</w:t>
      </w:r>
      <w:r>
        <w:rPr>
          <w:rFonts w:ascii="仿宋_GB2312" w:eastAsia="仿宋_GB2312" w:hAnsi="宋体" w:hint="eastAsia"/>
          <w:sz w:val="32"/>
          <w:szCs w:val="32"/>
        </w:rPr>
        <w:t>95%冷库贮藏，松露货架期延长至4周。黎琦等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8</w:t>
      </w:r>
      <w:r>
        <w:rPr>
          <w:rFonts w:ascii="仿宋_GB2312" w:eastAsia="仿宋_GB2312" w:hAnsi="宋体"/>
          <w:sz w:val="32"/>
          <w:szCs w:val="32"/>
          <w:vertAlign w:val="superscript"/>
        </w:rPr>
        <w:t>]</w:t>
      </w:r>
      <w:r>
        <w:rPr>
          <w:rFonts w:ascii="仿宋_GB2312" w:eastAsia="仿宋_GB2312" w:hAnsi="宋体" w:hint="eastAsia"/>
          <w:sz w:val="32"/>
          <w:szCs w:val="32"/>
        </w:rPr>
        <w:t>采用75%食用酒精速泡、真空包装后4℃冷藏，货架期可到30d。唐平等</w:t>
      </w:r>
      <w:r>
        <w:rPr>
          <w:rFonts w:ascii="仿宋_GB2312" w:eastAsia="仿宋_GB2312" w:hAnsi="宋体"/>
          <w:sz w:val="32"/>
          <w:szCs w:val="32"/>
          <w:vertAlign w:val="superscript"/>
        </w:rPr>
        <w:t>[</w:t>
      </w:r>
      <w:r>
        <w:rPr>
          <w:rFonts w:ascii="仿宋_GB2312" w:eastAsia="仿宋_GB2312" w:hAnsi="宋体" w:hint="eastAsia"/>
          <w:sz w:val="32"/>
          <w:szCs w:val="32"/>
          <w:vertAlign w:val="superscript"/>
        </w:rPr>
        <w:t>9</w:t>
      </w:r>
      <w:r>
        <w:rPr>
          <w:rFonts w:ascii="仿宋_GB2312" w:eastAsia="仿宋_GB2312" w:hAnsi="宋体"/>
          <w:sz w:val="32"/>
          <w:szCs w:val="32"/>
          <w:vertAlign w:val="superscript"/>
        </w:rPr>
        <w:t>]</w:t>
      </w:r>
      <w:r>
        <w:rPr>
          <w:rFonts w:ascii="仿宋_GB2312" w:eastAsia="仿宋_GB2312" w:hAnsi="宋体" w:hint="eastAsia"/>
          <w:sz w:val="32"/>
          <w:szCs w:val="32"/>
        </w:rPr>
        <w:t>块菌孢子成熟度大于85%、温度3℃～5℃，装框质量20 kg/框、无人为损伤块菌保鲜时间50 d，损耗率低于8 %。这些技术工序复杂有设施设备要求，在实际生产中，有些技术已被应用、有些技术难以有效应用，块菌（松露）鲜品保鲜期短，流通时间短，供应期季节性强，降低了鲜块菌的消费。简单易行且能有效延长鲜块菌（松露）货架期的贮藏保鲜技术在生产中更容易应用。本文件针对目前常用的冷库保鲜进行验证。</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选择成熟中华块菌，保鲜温度-1℃～-3℃、0℃～2℃、3℃～5℃、 5℃～7℃</w:t>
      </w:r>
      <w:r w:rsidR="009D00EF">
        <w:rPr>
          <w:rFonts w:ascii="仿宋_GB2312" w:eastAsia="仿宋_GB2312" w:hAnsi="宋体" w:hint="eastAsia"/>
          <w:sz w:val="32"/>
          <w:szCs w:val="32"/>
        </w:rPr>
        <w:t xml:space="preserve"> 4</w:t>
      </w:r>
      <w:r>
        <w:rPr>
          <w:rFonts w:ascii="仿宋_GB2312" w:eastAsia="仿宋_GB2312" w:hAnsi="宋体" w:hint="eastAsia"/>
          <w:sz w:val="32"/>
          <w:szCs w:val="32"/>
        </w:rPr>
        <w:t>个处理，各2 kg，3 次重复，共12组24kg；装筐量1/4、1/2、2/3 、满框 4个处理，各 1 筐，3 次重复，共 12组，87 kg；损伤无损伤、自然损伤、人工损伤</w:t>
      </w:r>
      <w:r w:rsidR="009D00EF">
        <w:rPr>
          <w:rFonts w:ascii="仿宋_GB2312" w:eastAsia="仿宋_GB2312" w:hAnsi="宋体" w:hint="eastAsia"/>
          <w:sz w:val="32"/>
          <w:szCs w:val="32"/>
        </w:rPr>
        <w:t>3</w:t>
      </w:r>
      <w:r>
        <w:rPr>
          <w:rFonts w:ascii="仿宋_GB2312" w:eastAsia="仿宋_GB2312" w:hAnsi="宋体" w:hint="eastAsia"/>
          <w:sz w:val="32"/>
          <w:szCs w:val="32"/>
        </w:rPr>
        <w:t>个处理，各2kg ，</w:t>
      </w:r>
      <w:r w:rsidR="009D00EF">
        <w:rPr>
          <w:rFonts w:ascii="仿宋_GB2312" w:eastAsia="仿宋_GB2312" w:hAnsi="宋体" w:hint="eastAsia"/>
          <w:sz w:val="32"/>
          <w:szCs w:val="32"/>
        </w:rPr>
        <w:t>3</w:t>
      </w:r>
      <w:r>
        <w:rPr>
          <w:rFonts w:ascii="仿宋_GB2312" w:eastAsia="仿宋_GB2312" w:hAnsi="宋体" w:hint="eastAsia"/>
          <w:sz w:val="32"/>
          <w:szCs w:val="32"/>
        </w:rPr>
        <w:t>次重复，共9 组18kg。处理时间</w:t>
      </w:r>
      <w:r w:rsidR="009D00EF">
        <w:rPr>
          <w:rFonts w:ascii="仿宋_GB2312" w:eastAsia="仿宋_GB2312" w:hAnsi="宋体" w:hint="eastAsia"/>
          <w:sz w:val="32"/>
          <w:szCs w:val="32"/>
        </w:rPr>
        <w:t>50</w:t>
      </w:r>
      <w:r>
        <w:rPr>
          <w:rFonts w:ascii="仿宋_GB2312" w:eastAsia="仿宋_GB2312" w:hAnsi="宋体" w:hint="eastAsia"/>
          <w:sz w:val="32"/>
          <w:szCs w:val="32"/>
        </w:rPr>
        <w:t>d，间隔</w:t>
      </w:r>
      <w:r w:rsidR="009D00EF">
        <w:rPr>
          <w:rFonts w:ascii="仿宋_GB2312" w:eastAsia="仿宋_GB2312" w:hAnsi="宋体" w:hint="eastAsia"/>
          <w:sz w:val="32"/>
          <w:szCs w:val="32"/>
        </w:rPr>
        <w:t>5</w:t>
      </w:r>
      <w:r>
        <w:rPr>
          <w:rFonts w:ascii="仿宋_GB2312" w:eastAsia="仿宋_GB2312" w:hAnsi="宋体" w:hint="eastAsia"/>
          <w:sz w:val="32"/>
          <w:szCs w:val="32"/>
        </w:rPr>
        <w:t>d测量一次，称重，挑出霉烂、软化块菌称重，</w:t>
      </w:r>
      <w:r>
        <w:rPr>
          <w:rFonts w:ascii="仿宋_GB2312" w:eastAsia="仿宋_GB2312" w:hAnsi="宋体" w:hint="eastAsia"/>
          <w:sz w:val="32"/>
          <w:szCs w:val="32"/>
        </w:rPr>
        <w:lastRenderedPageBreak/>
        <w:t>计算霉烂损耗和失水损耗。-1℃～-3℃容易发生冷害， 5℃～7℃保鲜期较短,15 d损耗超过10%，20 d损耗超过30%，3℃～5℃保鲜效果最好，保鲜时间30 d损耗低于10%。装筐量低于1/4，霉烂少，但水分散失较严重，满框装载，水分散失少，但霉烂块菌损耗会增加，块菌在冷库保鲜条件下，装筐以1/2～2/3较佳。自然损伤愈合后保鲜和无损伤的块菌（松露）无显著差异，但机械损伤的伤口处容易霉烂，并逐步感染周围其它块菌引起霉烂。所以自然损伤的可以与无损伤的块菌混合保鲜，人工损伤块菌必须分开保鲜，</w:t>
      </w:r>
      <w:proofErr w:type="gramStart"/>
      <w:r>
        <w:rPr>
          <w:rFonts w:ascii="仿宋_GB2312" w:eastAsia="仿宋_GB2312" w:hAnsi="宋体" w:hint="eastAsia"/>
          <w:sz w:val="32"/>
          <w:szCs w:val="32"/>
        </w:rPr>
        <w:t>且尽快</w:t>
      </w:r>
      <w:proofErr w:type="gramEnd"/>
      <w:r>
        <w:rPr>
          <w:rFonts w:ascii="仿宋_GB2312" w:eastAsia="仿宋_GB2312" w:hAnsi="宋体" w:hint="eastAsia"/>
          <w:sz w:val="32"/>
          <w:szCs w:val="32"/>
        </w:rPr>
        <w:t>进行加工处理降低块菌的损耗。考虑块菌（松露）损耗低于10%，冷库保鲜时间</w:t>
      </w:r>
      <w:r w:rsidR="000B3A8C">
        <w:rPr>
          <w:rFonts w:ascii="仿宋_GB2312" w:eastAsia="仿宋_GB2312" w:hAnsi="宋体" w:hint="eastAsia"/>
          <w:sz w:val="32"/>
          <w:szCs w:val="32"/>
        </w:rPr>
        <w:t>30</w:t>
      </w:r>
      <w:r>
        <w:rPr>
          <w:rFonts w:ascii="仿宋_GB2312" w:eastAsia="仿宋_GB2312" w:hAnsi="宋体" w:hint="eastAsia"/>
          <w:sz w:val="32"/>
          <w:szCs w:val="32"/>
        </w:rPr>
        <w:t>d为宜，最长不超过</w:t>
      </w:r>
      <w:r w:rsidR="000B3A8C">
        <w:rPr>
          <w:rFonts w:ascii="仿宋_GB2312" w:eastAsia="仿宋_GB2312" w:hAnsi="宋体" w:hint="eastAsia"/>
          <w:sz w:val="32"/>
          <w:szCs w:val="32"/>
        </w:rPr>
        <w:t>50</w:t>
      </w:r>
      <w:r>
        <w:rPr>
          <w:rFonts w:ascii="仿宋_GB2312" w:eastAsia="仿宋_GB2312" w:hAnsi="宋体" w:hint="eastAsia"/>
          <w:sz w:val="32"/>
          <w:szCs w:val="32"/>
        </w:rPr>
        <w:t>d。</w:t>
      </w:r>
    </w:p>
    <w:p w:rsidR="00C76403" w:rsidRDefault="00FB2BB0">
      <w:pPr>
        <w:ind w:firstLineChars="200" w:firstLine="640"/>
        <w:rPr>
          <w:rFonts w:ascii="楷体_GB2312" w:eastAsia="楷体_GB2312" w:hAnsi="黑体"/>
          <w:sz w:val="32"/>
          <w:szCs w:val="32"/>
        </w:rPr>
      </w:pPr>
      <w:r>
        <w:rPr>
          <w:rFonts w:ascii="楷体_GB2312" w:eastAsia="楷体_GB2312" w:hAnsi="黑体" w:hint="eastAsia"/>
          <w:sz w:val="32"/>
          <w:szCs w:val="32"/>
        </w:rPr>
        <w:t>（二）预期的效果</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由于块菌（松露）采集、收购、运输、贮藏、销售是一个由量小分散到逐步集中的过程，从采收到销售涉及地域范围广，整个过程时间跨度长，且由于采后其旺盛的生命活动和呼吸强度，子囊果内的水分慢慢流失至脱水，营养物质慢慢消耗，抵抗外界侵袭能力逐渐降低，极易受到微生物的侵袭而导致子囊果变质腐烂，商品性降低，失去加工和食用价值，这些因素严重影响块菌的贸易；特别是块菌大量以鲜品销售或出口，对保鲜、包装、运输具有显著要求，次生\精深加工的酒类、巧克力类、香水类等对香气成分的要求都比较高，所以保鲜、包装、运输等过程对保持块菌的香气成分</w:t>
      </w:r>
      <w:r>
        <w:rPr>
          <w:rFonts w:ascii="仿宋_GB2312" w:eastAsia="仿宋_GB2312" w:hAnsi="宋体" w:hint="eastAsia"/>
          <w:sz w:val="32"/>
          <w:szCs w:val="32"/>
        </w:rPr>
        <w:lastRenderedPageBreak/>
        <w:t>及其他品质尤其重要，如果良好保持松露香味及活性成分，适当延长保鲜期，将显著增加块菌的价值。经过查询国际国内尚无块菌（松露）鲜品流通的相关标准。因此针对国内交易量较大的种类块菌（松露）鲜品，制定流通规范，明确采集、保鲜、包装、运输、贮藏、销售等过程的操作规范，可增强块菌（松露）鲜品市场竞争力，促进块菌（松露）资源的可持续利用和高端贸易。制定块菌（松露）鲜品流通规范行业标准在国内外贸易过程中具有重要意义。</w:t>
      </w:r>
    </w:p>
    <w:p w:rsidR="00C76403" w:rsidRDefault="00FB2BB0">
      <w:pPr>
        <w:pStyle w:val="af2"/>
        <w:ind w:firstLine="640"/>
        <w:rPr>
          <w:rFonts w:ascii="黑体" w:eastAsia="黑体" w:hAnsi="黑体"/>
          <w:sz w:val="32"/>
          <w:szCs w:val="32"/>
        </w:rPr>
      </w:pPr>
      <w:r>
        <w:rPr>
          <w:rFonts w:ascii="黑体" w:eastAsia="黑体" w:hAnsi="黑体" w:hint="eastAsia"/>
          <w:sz w:val="32"/>
          <w:szCs w:val="32"/>
        </w:rPr>
        <w:t>四</w:t>
      </w:r>
      <w:r w:rsidR="000B3A8C">
        <w:rPr>
          <w:rFonts w:ascii="黑体" w:eastAsia="黑体" w:hAnsi="黑体" w:hint="eastAsia"/>
          <w:sz w:val="32"/>
          <w:szCs w:val="32"/>
        </w:rPr>
        <w:t>、</w:t>
      </w:r>
      <w:r>
        <w:rPr>
          <w:rFonts w:ascii="黑体" w:eastAsia="黑体" w:hAnsi="黑体" w:hint="eastAsia"/>
          <w:sz w:val="32"/>
          <w:szCs w:val="32"/>
        </w:rPr>
        <w:t>采用国际标准和国外先进标准的</w:t>
      </w:r>
      <w:r>
        <w:rPr>
          <w:rFonts w:ascii="黑体" w:eastAsia="黑体" w:hAnsi="黑体"/>
          <w:sz w:val="32"/>
          <w:szCs w:val="32"/>
        </w:rPr>
        <w:t>情况</w:t>
      </w:r>
      <w:r>
        <w:rPr>
          <w:rFonts w:ascii="黑体" w:eastAsia="黑体" w:hAnsi="黑体" w:hint="eastAsia"/>
          <w:sz w:val="32"/>
          <w:szCs w:val="32"/>
        </w:rPr>
        <w:t>，以及与国际、国外同类标准水平的对比情况</w:t>
      </w:r>
    </w:p>
    <w:p w:rsidR="00C76403" w:rsidRDefault="00FB2BB0">
      <w:pPr>
        <w:ind w:firstLineChars="200" w:firstLine="640"/>
        <w:rPr>
          <w:rFonts w:ascii="楷体_GB2312" w:eastAsia="楷体_GB2312" w:hAnsi="黑体"/>
          <w:sz w:val="32"/>
          <w:szCs w:val="32"/>
        </w:rPr>
      </w:pPr>
      <w:r>
        <w:rPr>
          <w:rFonts w:ascii="楷体_GB2312" w:eastAsia="楷体_GB2312" w:hAnsi="黑体"/>
          <w:sz w:val="32"/>
          <w:szCs w:val="32"/>
        </w:rPr>
        <w:t>1</w:t>
      </w:r>
      <w:r>
        <w:rPr>
          <w:rFonts w:ascii="楷体_GB2312" w:eastAsia="楷体_GB2312" w:hAnsi="黑体" w:hint="eastAsia"/>
          <w:sz w:val="32"/>
          <w:szCs w:val="32"/>
        </w:rPr>
        <w:t>采用国际标准和国外先进标准的</w:t>
      </w:r>
      <w:r>
        <w:rPr>
          <w:rFonts w:ascii="楷体_GB2312" w:eastAsia="楷体_GB2312" w:hAnsi="黑体"/>
          <w:sz w:val="32"/>
          <w:szCs w:val="32"/>
        </w:rPr>
        <w:t>情况</w:t>
      </w:r>
    </w:p>
    <w:p w:rsidR="00C76403" w:rsidRDefault="00FB2BB0">
      <w:pPr>
        <w:pStyle w:val="af5"/>
        <w:ind w:firstLine="640"/>
        <w:rPr>
          <w:rFonts w:ascii="仿宋_GB2312" w:eastAsia="仿宋_GB2312" w:hAnsi="黑体"/>
          <w:sz w:val="32"/>
          <w:szCs w:val="32"/>
        </w:rPr>
      </w:pPr>
      <w:r>
        <w:rPr>
          <w:rFonts w:ascii="仿宋_GB2312" w:eastAsia="仿宋_GB2312" w:hAnsi="黑体" w:hint="eastAsia"/>
          <w:sz w:val="32"/>
          <w:szCs w:val="32"/>
        </w:rPr>
        <w:t>经检索，块菌</w:t>
      </w:r>
      <w:r>
        <w:rPr>
          <w:rFonts w:ascii="仿宋_GB2312" w:eastAsia="仿宋_GB2312" w:hAnsi="黑体"/>
          <w:sz w:val="32"/>
          <w:szCs w:val="32"/>
        </w:rPr>
        <w:t>（松露）</w:t>
      </w:r>
      <w:r>
        <w:rPr>
          <w:rFonts w:ascii="仿宋_GB2312" w:eastAsia="仿宋_GB2312" w:hAnsi="黑体" w:hint="eastAsia"/>
          <w:sz w:val="32"/>
          <w:szCs w:val="32"/>
        </w:rPr>
        <w:t xml:space="preserve">的国外标准有三项（FFV-53 -2010 TRUFFLES、CD/K/068-2010 Fresh truffles — Specification and grading 、BNZ-IMP-TUBER-2011 Importation into New Zealand of specified </w:t>
      </w:r>
      <w:r>
        <w:rPr>
          <w:rFonts w:ascii="仿宋_GB2312" w:eastAsia="仿宋_GB2312" w:hAnsi="黑体"/>
          <w:sz w:val="32"/>
          <w:szCs w:val="32"/>
        </w:rPr>
        <w:t xml:space="preserve">fresh and frozen </w:t>
      </w:r>
      <w:r w:rsidRPr="000B3A8C">
        <w:rPr>
          <w:rFonts w:ascii="仿宋_GB2312" w:eastAsia="仿宋_GB2312" w:hAnsi="黑体" w:hint="eastAsia"/>
          <w:i/>
          <w:sz w:val="32"/>
          <w:szCs w:val="32"/>
        </w:rPr>
        <w:t>Tuber</w:t>
      </w:r>
      <w:r>
        <w:rPr>
          <w:rFonts w:ascii="仿宋_GB2312" w:eastAsia="仿宋_GB2312" w:hAnsi="黑体"/>
          <w:sz w:val="32"/>
          <w:szCs w:val="32"/>
        </w:rPr>
        <w:t xml:space="preserve"> species (truffles)</w:t>
      </w:r>
      <w:r>
        <w:rPr>
          <w:rFonts w:ascii="仿宋_GB2312" w:eastAsia="仿宋_GB2312" w:hAnsi="黑体" w:hint="eastAsia"/>
          <w:sz w:val="32"/>
          <w:szCs w:val="32"/>
        </w:rPr>
        <w:t>），前两项标准涉及多个块菌（松露）种类的鲜品基本要求，且有等级、规格要求，</w:t>
      </w:r>
      <w:proofErr w:type="gramStart"/>
      <w:r>
        <w:rPr>
          <w:rFonts w:ascii="仿宋_GB2312" w:eastAsia="仿宋_GB2312" w:hAnsi="黑体" w:hint="eastAsia"/>
          <w:sz w:val="32"/>
          <w:szCs w:val="32"/>
        </w:rPr>
        <w:t>无流通</w:t>
      </w:r>
      <w:proofErr w:type="gramEnd"/>
      <w:r>
        <w:rPr>
          <w:rFonts w:ascii="仿宋_GB2312" w:eastAsia="仿宋_GB2312" w:hAnsi="黑体" w:hint="eastAsia"/>
          <w:sz w:val="32"/>
          <w:szCs w:val="32"/>
        </w:rPr>
        <w:t>过程的标准，后一项标准涉及进口检验检疫。本文件针对中国产量较大的主要贸易种类制定标准，三项国外标准针对的种类较多一些，其中CD/K/068-2010 Fresh truffles — Specification and grading中提到中国松露（</w:t>
      </w:r>
      <w:r>
        <w:rPr>
          <w:rFonts w:ascii="仿宋_GB2312" w:eastAsia="仿宋_GB2312" w:hAnsi="黑体" w:hint="eastAsia"/>
          <w:i/>
          <w:iCs/>
          <w:sz w:val="32"/>
          <w:szCs w:val="32"/>
        </w:rPr>
        <w:t xml:space="preserve">Tuber </w:t>
      </w:r>
      <w:proofErr w:type="spellStart"/>
      <w:r>
        <w:rPr>
          <w:rFonts w:ascii="仿宋_GB2312" w:eastAsia="仿宋_GB2312" w:hAnsi="黑体" w:hint="eastAsia"/>
          <w:i/>
          <w:iCs/>
          <w:sz w:val="32"/>
          <w:szCs w:val="32"/>
        </w:rPr>
        <w:t>sinensis</w:t>
      </w:r>
      <w:proofErr w:type="spellEnd"/>
      <w:r>
        <w:rPr>
          <w:rFonts w:ascii="仿宋_GB2312" w:eastAsia="仿宋_GB2312" w:hAnsi="黑体" w:hint="eastAsia"/>
          <w:sz w:val="32"/>
          <w:szCs w:val="32"/>
        </w:rPr>
        <w:t>，有时也称</w:t>
      </w:r>
      <w:r>
        <w:rPr>
          <w:rFonts w:ascii="仿宋_GB2312" w:eastAsia="仿宋_GB2312" w:hAnsi="黑体" w:hint="eastAsia"/>
          <w:i/>
          <w:iCs/>
          <w:sz w:val="32"/>
          <w:szCs w:val="32"/>
        </w:rPr>
        <w:t xml:space="preserve"> Tuber </w:t>
      </w:r>
      <w:proofErr w:type="spellStart"/>
      <w:r>
        <w:rPr>
          <w:rFonts w:ascii="仿宋_GB2312" w:eastAsia="仿宋_GB2312" w:hAnsi="黑体" w:hint="eastAsia"/>
          <w:i/>
          <w:iCs/>
          <w:sz w:val="32"/>
          <w:szCs w:val="32"/>
        </w:rPr>
        <w:t>indicum</w:t>
      </w:r>
      <w:proofErr w:type="spellEnd"/>
      <w:r>
        <w:rPr>
          <w:rFonts w:ascii="仿宋_GB2312" w:eastAsia="仿宋_GB2312" w:hAnsi="黑体" w:hint="eastAsia"/>
          <w:sz w:val="32"/>
          <w:szCs w:val="32"/>
        </w:rPr>
        <w:t>）是一种在中国收获的</w:t>
      </w:r>
      <w:r>
        <w:rPr>
          <w:rFonts w:ascii="仿宋_GB2312" w:eastAsia="仿宋_GB2312" w:hAnsi="黑体" w:hint="eastAsia"/>
          <w:sz w:val="32"/>
          <w:szCs w:val="32"/>
        </w:rPr>
        <w:lastRenderedPageBreak/>
        <w:t>冬季黑松露，经常被作为黑松露的劣质替代品出口到西方。本文件未引用国外标准，但将成熟度作为基本要求进行约束，旨在遏制松露的提前采挖，等级规格也未参照国外标准，而是引用等级规格划分较为细致的GB/T 38697-2020 块菌（松露）鲜品质量等级规格。</w:t>
      </w:r>
    </w:p>
    <w:p w:rsidR="00C76403" w:rsidRDefault="00FB2BB0">
      <w:pPr>
        <w:pStyle w:val="af2"/>
        <w:ind w:firstLine="640"/>
        <w:rPr>
          <w:rFonts w:ascii="黑体" w:eastAsia="黑体" w:hAnsi="黑体"/>
          <w:sz w:val="32"/>
          <w:szCs w:val="32"/>
        </w:rPr>
      </w:pPr>
      <w:r>
        <w:rPr>
          <w:rFonts w:ascii="黑体" w:eastAsia="黑体" w:hAnsi="黑体" w:hint="eastAsia"/>
          <w:sz w:val="32"/>
          <w:szCs w:val="32"/>
        </w:rPr>
        <w:t>五</w:t>
      </w:r>
      <w:r w:rsidR="000B3A8C">
        <w:rPr>
          <w:rFonts w:ascii="黑体" w:eastAsia="黑体" w:hAnsi="黑体" w:hint="eastAsia"/>
          <w:sz w:val="32"/>
          <w:szCs w:val="32"/>
        </w:rPr>
        <w:t>、</w:t>
      </w:r>
      <w:r>
        <w:rPr>
          <w:rFonts w:ascii="黑体" w:eastAsia="黑体" w:hAnsi="黑体" w:hint="eastAsia"/>
          <w:sz w:val="32"/>
          <w:szCs w:val="32"/>
        </w:rPr>
        <w:t>与有关的现行法律、法规和强制性国家标准的关系</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本文件涉及食品安全方面的内容严格执行《食品安全法》及食品安全国家标准。根据国家市场监管总局技术司关于开展食品质量国家标准清理工作的通知（</w:t>
      </w:r>
      <w:proofErr w:type="gramStart"/>
      <w:r>
        <w:rPr>
          <w:rFonts w:ascii="仿宋_GB2312" w:eastAsia="仿宋_GB2312" w:hAnsi="宋体" w:hint="eastAsia"/>
          <w:sz w:val="32"/>
          <w:szCs w:val="32"/>
        </w:rPr>
        <w:t>标技司函</w:t>
      </w:r>
      <w:proofErr w:type="gramEnd"/>
      <w:r>
        <w:rPr>
          <w:rFonts w:ascii="仿宋_GB2312" w:eastAsia="仿宋_GB2312" w:hAnsi="宋体" w:hint="eastAsia"/>
          <w:sz w:val="32"/>
          <w:szCs w:val="32"/>
        </w:rPr>
        <w:t>〔2019〕76号）要求，清理工作方案中明确食品质量国家标准中不涉及食品安全内容和指标，因此在标准制定过程中，未重复列出相关安全指标要求。</w:t>
      </w:r>
    </w:p>
    <w:p w:rsidR="00C76403" w:rsidRDefault="00FB2BB0">
      <w:pPr>
        <w:pStyle w:val="af2"/>
        <w:ind w:firstLine="640"/>
        <w:rPr>
          <w:rFonts w:ascii="黑体" w:eastAsia="黑体" w:hAnsi="黑体"/>
          <w:sz w:val="32"/>
          <w:szCs w:val="32"/>
        </w:rPr>
      </w:pPr>
      <w:r>
        <w:rPr>
          <w:rFonts w:ascii="黑体" w:eastAsia="黑体" w:hAnsi="黑体"/>
          <w:sz w:val="32"/>
          <w:szCs w:val="32"/>
        </w:rPr>
        <w:t>六</w:t>
      </w:r>
      <w:r w:rsidR="000B3A8C">
        <w:rPr>
          <w:rFonts w:ascii="黑体" w:eastAsia="黑体" w:hAnsi="黑体" w:hint="eastAsia"/>
          <w:sz w:val="32"/>
          <w:szCs w:val="32"/>
        </w:rPr>
        <w:t>、</w:t>
      </w:r>
      <w:r>
        <w:rPr>
          <w:rFonts w:ascii="黑体" w:eastAsia="黑体" w:hAnsi="黑体" w:hint="eastAsia"/>
          <w:sz w:val="32"/>
          <w:szCs w:val="32"/>
        </w:rPr>
        <w:t>重大分歧意见的处理经过和依据</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本文件在编写过程中，向</w:t>
      </w:r>
      <w:r w:rsidR="000B3A8C">
        <w:rPr>
          <w:rFonts w:ascii="仿宋_GB2312" w:eastAsia="仿宋_GB2312" w:hAnsi="宋体" w:hint="eastAsia"/>
          <w:sz w:val="32"/>
          <w:szCs w:val="32"/>
        </w:rPr>
        <w:t>X</w:t>
      </w:r>
      <w:r w:rsidR="000B3A8C">
        <w:rPr>
          <w:rFonts w:ascii="仿宋_GB2312" w:eastAsia="仿宋_GB2312" w:hAnsi="宋体"/>
          <w:sz w:val="32"/>
          <w:szCs w:val="32"/>
        </w:rPr>
        <w:t>XX</w:t>
      </w:r>
      <w:r>
        <w:rPr>
          <w:rFonts w:ascii="仿宋_GB2312" w:eastAsia="仿宋_GB2312" w:hAnsi="宋体" w:hint="eastAsia"/>
          <w:sz w:val="32"/>
          <w:szCs w:val="32"/>
        </w:rPr>
        <w:t>等多家单位征求意见，累计反馈意见？</w:t>
      </w:r>
      <w:proofErr w:type="gramStart"/>
      <w:r>
        <w:rPr>
          <w:rFonts w:ascii="仿宋_GB2312" w:eastAsia="仿宋_GB2312" w:hAnsi="宋体" w:hint="eastAsia"/>
          <w:sz w:val="32"/>
          <w:szCs w:val="32"/>
        </w:rPr>
        <w:t>份共</w:t>
      </w:r>
      <w:proofErr w:type="gramEnd"/>
      <w:r>
        <w:rPr>
          <w:rFonts w:ascii="仿宋_GB2312" w:eastAsia="仿宋_GB2312" w:hAnsi="宋体" w:hint="eastAsia"/>
          <w:sz w:val="32"/>
          <w:szCs w:val="32"/>
        </w:rPr>
        <w:t xml:space="preserve"> ？条，其中采纳？条，未采纳？条。项目立项时名称为“松露鲜品流通规范”，在标准查询过程中，现有的两项国家标准在名称上用的都是块菌（松露），为保证标准的协调性、</w:t>
      </w:r>
      <w:proofErr w:type="gramStart"/>
      <w:r>
        <w:rPr>
          <w:rFonts w:ascii="仿宋_GB2312" w:eastAsia="仿宋_GB2312" w:hAnsi="宋体" w:hint="eastAsia"/>
          <w:sz w:val="32"/>
          <w:szCs w:val="32"/>
        </w:rPr>
        <w:t>已操作</w:t>
      </w:r>
      <w:proofErr w:type="gramEnd"/>
      <w:r>
        <w:rPr>
          <w:rFonts w:ascii="仿宋_GB2312" w:eastAsia="仿宋_GB2312" w:hAnsi="宋体" w:hint="eastAsia"/>
          <w:sz w:val="32"/>
          <w:szCs w:val="32"/>
        </w:rPr>
        <w:t>性，本标准采用块菌（松露）。</w:t>
      </w:r>
    </w:p>
    <w:p w:rsidR="00CB20F3" w:rsidRPr="004947E4" w:rsidRDefault="00FB2BB0" w:rsidP="00CB20F3">
      <w:pPr>
        <w:pStyle w:val="af2"/>
        <w:ind w:firstLine="640"/>
        <w:rPr>
          <w:rFonts w:ascii="黑体" w:eastAsia="黑体" w:hAnsi="黑体" w:hint="eastAsia"/>
          <w:sz w:val="32"/>
          <w:szCs w:val="32"/>
        </w:rPr>
      </w:pPr>
      <w:bookmarkStart w:id="0" w:name="_GoBack"/>
      <w:bookmarkEnd w:id="0"/>
      <w:r w:rsidRPr="004947E4">
        <w:rPr>
          <w:rFonts w:ascii="黑体" w:eastAsia="黑体" w:hAnsi="黑体" w:hint="eastAsia"/>
          <w:sz w:val="32"/>
          <w:szCs w:val="32"/>
        </w:rPr>
        <w:t>七</w:t>
      </w:r>
      <w:r w:rsidR="000B3A8C" w:rsidRPr="004947E4">
        <w:rPr>
          <w:rFonts w:ascii="黑体" w:eastAsia="黑体" w:hAnsi="黑体" w:hint="eastAsia"/>
          <w:sz w:val="32"/>
          <w:szCs w:val="32"/>
        </w:rPr>
        <w:t>、</w:t>
      </w:r>
      <w:r w:rsidR="00CB20F3" w:rsidRPr="004947E4">
        <w:rPr>
          <w:rFonts w:ascii="黑体" w:eastAsia="黑体" w:hAnsi="黑体" w:hint="eastAsia"/>
          <w:sz w:val="32"/>
          <w:szCs w:val="32"/>
        </w:rPr>
        <w:t>涉及专利的有关说明</w:t>
      </w:r>
    </w:p>
    <w:p w:rsidR="00C76403" w:rsidRPr="00CB20F3" w:rsidRDefault="00CB20F3" w:rsidP="00CB20F3">
      <w:pPr>
        <w:ind w:firstLineChars="200" w:firstLine="640"/>
        <w:rPr>
          <w:rFonts w:ascii="仿宋_GB2312" w:eastAsia="仿宋_GB2312" w:hAnsi="宋体"/>
          <w:sz w:val="32"/>
          <w:szCs w:val="32"/>
        </w:rPr>
      </w:pPr>
      <w:r w:rsidRPr="004947E4">
        <w:rPr>
          <w:rFonts w:ascii="仿宋_GB2312" w:eastAsia="仿宋_GB2312" w:hAnsi="宋体" w:hint="eastAsia"/>
          <w:sz w:val="32"/>
          <w:szCs w:val="32"/>
        </w:rPr>
        <w:t>本</w:t>
      </w:r>
      <w:r w:rsidR="00926A5A" w:rsidRPr="004947E4">
        <w:rPr>
          <w:rFonts w:ascii="仿宋_GB2312" w:eastAsia="仿宋_GB2312" w:hAnsi="宋体" w:hint="eastAsia"/>
          <w:sz w:val="32"/>
          <w:szCs w:val="32"/>
        </w:rPr>
        <w:t>文件</w:t>
      </w:r>
      <w:r w:rsidRPr="004947E4">
        <w:rPr>
          <w:rFonts w:ascii="仿宋_GB2312" w:eastAsia="仿宋_GB2312" w:hAnsi="宋体" w:hint="eastAsia"/>
          <w:sz w:val="32"/>
          <w:szCs w:val="32"/>
        </w:rPr>
        <w:t>在制定过程中不涉及专利等相关问题。</w:t>
      </w:r>
    </w:p>
    <w:p w:rsidR="00C76403" w:rsidRDefault="00FB2BB0">
      <w:pPr>
        <w:pStyle w:val="af2"/>
        <w:ind w:firstLine="640"/>
        <w:rPr>
          <w:rFonts w:ascii="黑体" w:eastAsia="黑体" w:hAnsi="黑体"/>
          <w:sz w:val="32"/>
          <w:szCs w:val="32"/>
        </w:rPr>
      </w:pPr>
      <w:r>
        <w:rPr>
          <w:rFonts w:ascii="黑体" w:eastAsia="黑体" w:hAnsi="黑体" w:hint="eastAsia"/>
          <w:sz w:val="32"/>
          <w:szCs w:val="32"/>
        </w:rPr>
        <w:t>八</w:t>
      </w:r>
      <w:r w:rsidR="000B3A8C">
        <w:rPr>
          <w:rFonts w:ascii="黑体" w:eastAsia="黑体" w:hAnsi="黑体" w:hint="eastAsia"/>
          <w:sz w:val="32"/>
          <w:szCs w:val="32"/>
        </w:rPr>
        <w:t>、</w:t>
      </w:r>
      <w:r>
        <w:rPr>
          <w:rFonts w:ascii="黑体" w:eastAsia="黑体" w:hAnsi="黑体" w:hint="eastAsia"/>
          <w:sz w:val="32"/>
          <w:szCs w:val="32"/>
        </w:rPr>
        <w:t>贯彻</w:t>
      </w:r>
      <w:r>
        <w:rPr>
          <w:rFonts w:ascii="黑体" w:eastAsia="黑体" w:hAnsi="黑体"/>
          <w:sz w:val="32"/>
          <w:szCs w:val="32"/>
        </w:rPr>
        <w:t>供销行业</w:t>
      </w:r>
      <w:r>
        <w:rPr>
          <w:rFonts w:ascii="黑体" w:eastAsia="黑体" w:hAnsi="黑体" w:hint="eastAsia"/>
          <w:sz w:val="32"/>
          <w:szCs w:val="32"/>
        </w:rPr>
        <w:t>标准的要求和措施建议</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本标准发布实施后，起草单位应及时对相关生产、经营、</w:t>
      </w:r>
      <w:r>
        <w:rPr>
          <w:rFonts w:ascii="仿宋_GB2312" w:eastAsia="仿宋_GB2312" w:hAnsi="宋体" w:hint="eastAsia"/>
          <w:sz w:val="32"/>
          <w:szCs w:val="32"/>
        </w:rPr>
        <w:lastRenderedPageBreak/>
        <w:t>销售等领域的人员和单位进行标准的宣贯和培训，使相关人员能够掌握本标准要求，并在实际工作中具体应用。产区的食用菌行业主管部门、协会可采取会议或到交易市场进行标准的宣讲培训。</w:t>
      </w:r>
    </w:p>
    <w:p w:rsidR="00C76403" w:rsidRDefault="00FB2BB0">
      <w:pPr>
        <w:pStyle w:val="af2"/>
        <w:ind w:firstLine="640"/>
        <w:rPr>
          <w:rFonts w:ascii="黑体" w:eastAsia="黑体" w:hAnsi="黑体"/>
          <w:sz w:val="32"/>
          <w:szCs w:val="32"/>
        </w:rPr>
      </w:pPr>
      <w:r>
        <w:rPr>
          <w:rFonts w:ascii="黑体" w:eastAsia="黑体" w:hAnsi="黑体" w:hint="eastAsia"/>
          <w:sz w:val="32"/>
          <w:szCs w:val="32"/>
        </w:rPr>
        <w:t>九</w:t>
      </w:r>
      <w:r w:rsidR="000B3A8C">
        <w:rPr>
          <w:rFonts w:ascii="黑体" w:eastAsia="黑体" w:hAnsi="黑体" w:hint="eastAsia"/>
          <w:sz w:val="32"/>
          <w:szCs w:val="32"/>
        </w:rPr>
        <w:t>、</w:t>
      </w:r>
      <w:r>
        <w:rPr>
          <w:rFonts w:ascii="黑体" w:eastAsia="黑体" w:hAnsi="黑体" w:hint="eastAsia"/>
          <w:sz w:val="32"/>
          <w:szCs w:val="32"/>
        </w:rPr>
        <w:t>废止现行有关标准的建议</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目前，我国现行食用菌国家</w:t>
      </w:r>
      <w:r w:rsidR="00CB20F3">
        <w:rPr>
          <w:rFonts w:ascii="仿宋_GB2312" w:eastAsia="仿宋_GB2312" w:hAnsi="宋体" w:hint="eastAsia"/>
          <w:sz w:val="32"/>
          <w:szCs w:val="32"/>
        </w:rPr>
        <w:t>、行业</w:t>
      </w:r>
      <w:r>
        <w:rPr>
          <w:rFonts w:ascii="仿宋_GB2312" w:eastAsia="仿宋_GB2312" w:hAnsi="宋体" w:hint="eastAsia"/>
          <w:sz w:val="32"/>
          <w:szCs w:val="32"/>
        </w:rPr>
        <w:t>标准中，暂未涉及块菌（松露）鲜品流通的标准，无废除现行有关标准的建议。</w:t>
      </w:r>
    </w:p>
    <w:p w:rsidR="00C76403" w:rsidRDefault="00FB2BB0">
      <w:pPr>
        <w:pStyle w:val="af2"/>
        <w:ind w:firstLine="640"/>
        <w:rPr>
          <w:rFonts w:ascii="仿宋_GB2312" w:eastAsia="仿宋_GB2312" w:hAnsi="宋体"/>
          <w:sz w:val="32"/>
          <w:szCs w:val="32"/>
        </w:rPr>
      </w:pPr>
      <w:r>
        <w:rPr>
          <w:rFonts w:ascii="黑体" w:eastAsia="黑体" w:hAnsi="黑体" w:hint="eastAsia"/>
          <w:sz w:val="32"/>
          <w:szCs w:val="32"/>
        </w:rPr>
        <w:t>十</w:t>
      </w:r>
      <w:r w:rsidR="000B3A8C">
        <w:rPr>
          <w:rFonts w:ascii="黑体" w:eastAsia="黑体" w:hAnsi="黑体" w:hint="eastAsia"/>
          <w:sz w:val="32"/>
          <w:szCs w:val="32"/>
        </w:rPr>
        <w:t>、</w:t>
      </w:r>
      <w:r>
        <w:rPr>
          <w:rFonts w:ascii="黑体" w:eastAsia="黑体" w:hAnsi="黑体" w:hint="eastAsia"/>
          <w:sz w:val="32"/>
          <w:szCs w:val="32"/>
        </w:rPr>
        <w:t>其他应予说明的事项</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随着块菌（松露）国内外食用菌市场份额的扩大，仅有产品标准，并不能满足块菌（松露）产品的发展需求，制定块菌（松露）鲜品流通技术标准，能更好的规范其市场流通，提高鲜品质量，延长保鲜期，指导企业生产。</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本文件规定未成熟块菌（松露）不应作为商品交易，对企业及采挖农户都具有一定的约束力，可有效预防和控制“一锅端”、过度采挖、过早采挖，从而保障产品质量，同时保护菌丝生长的环境，有效稳定自然产量。将块菌（松露）商品以标准形式加以规定，促进合格产品交易，这样减少了较小的或过分成熟子囊果的采挖，从而实现合理保护、有序开发利用。</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但块菌（松露）资源丰富，种类较多，根据松露表皮的颜色，表皮白色的松露气味和表皮黑色的松露气味及产期等有差异，建议不同的松露制定不同保鲜方法。</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文件旨在作为各生产、经营方商定各方共同遵守的技术依据，指导企业生产、经营、销售，规范流通环节，保障鲜品质量，提高市场竞争力。因此，本标准的制定尽管不能在短期产生可观的经济效益，但从长远看来，本标准对于增强中国块菌（松露）鲜品竞争力，提高块菌（松露）生产企业的经济效益，扩大其市场影响力具有重要作用。</w:t>
      </w:r>
    </w:p>
    <w:p w:rsidR="00C76403" w:rsidRDefault="00C76403">
      <w:pPr>
        <w:ind w:firstLineChars="200" w:firstLine="640"/>
        <w:rPr>
          <w:rFonts w:ascii="仿宋_GB2312" w:eastAsia="仿宋_GB2312" w:hAnsi="宋体"/>
          <w:sz w:val="32"/>
          <w:szCs w:val="32"/>
        </w:rPr>
      </w:pPr>
    </w:p>
    <w:p w:rsidR="00C76403" w:rsidRDefault="00FB2BB0" w:rsidP="00B54F5F">
      <w:pPr>
        <w:ind w:leftChars="200" w:left="740" w:hangingChars="100" w:hanging="320"/>
        <w:rPr>
          <w:rFonts w:ascii="仿宋_GB2312" w:eastAsia="仿宋_GB2312" w:hAnsi="宋体"/>
          <w:sz w:val="32"/>
          <w:szCs w:val="32"/>
        </w:rPr>
      </w:pPr>
      <w:r>
        <w:rPr>
          <w:rFonts w:ascii="仿宋_GB2312" w:eastAsia="仿宋_GB2312" w:hAnsi="宋体" w:hint="eastAsia"/>
          <w:sz w:val="32"/>
          <w:szCs w:val="32"/>
        </w:rPr>
        <w:t xml:space="preserve">                                                </w:t>
      </w:r>
      <w:r w:rsidR="00B54F5F">
        <w:rPr>
          <w:rFonts w:ascii="仿宋_GB2312" w:eastAsia="仿宋_GB2312" w:hAnsi="宋体" w:hint="eastAsia"/>
          <w:sz w:val="32"/>
          <w:szCs w:val="32"/>
        </w:rPr>
        <w:t>《块菌（松露）鲜品流通</w:t>
      </w:r>
      <w:r>
        <w:rPr>
          <w:rFonts w:ascii="仿宋_GB2312" w:eastAsia="仿宋_GB2312" w:hAnsi="宋体" w:hint="eastAsia"/>
          <w:sz w:val="32"/>
          <w:szCs w:val="32"/>
        </w:rPr>
        <w:t>规范》</w:t>
      </w:r>
      <w:r w:rsidR="00B54F5F">
        <w:rPr>
          <w:rFonts w:ascii="仿宋_GB2312" w:eastAsia="仿宋_GB2312" w:hAnsi="宋体" w:hint="eastAsia"/>
          <w:sz w:val="32"/>
          <w:szCs w:val="32"/>
        </w:rPr>
        <w:t>行业</w:t>
      </w:r>
      <w:r>
        <w:rPr>
          <w:rFonts w:ascii="仿宋_GB2312" w:eastAsia="仿宋_GB2312" w:hAnsi="宋体" w:hint="eastAsia"/>
          <w:sz w:val="32"/>
          <w:szCs w:val="32"/>
        </w:rPr>
        <w:t>标准起草小组</w:t>
      </w:r>
    </w:p>
    <w:p w:rsidR="00C76403" w:rsidRDefault="00FB2BB0">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sidR="00B54F5F">
        <w:rPr>
          <w:rFonts w:ascii="仿宋_GB2312" w:eastAsia="仿宋_GB2312" w:hAnsi="宋体"/>
          <w:sz w:val="32"/>
          <w:szCs w:val="32"/>
        </w:rPr>
        <w:t xml:space="preserve">          </w:t>
      </w:r>
      <w:r>
        <w:rPr>
          <w:rFonts w:ascii="仿宋_GB2312" w:eastAsia="仿宋_GB2312" w:hAnsi="宋体" w:hint="eastAsia"/>
          <w:sz w:val="32"/>
          <w:szCs w:val="32"/>
        </w:rPr>
        <w:t xml:space="preserve">  二○二</w:t>
      </w:r>
      <w:r w:rsidR="000B3A8C">
        <w:rPr>
          <w:rFonts w:ascii="仿宋_GB2312" w:eastAsia="仿宋_GB2312" w:hAnsi="宋体" w:hint="eastAsia"/>
          <w:sz w:val="32"/>
          <w:szCs w:val="32"/>
        </w:rPr>
        <w:t>三</w:t>
      </w:r>
      <w:r>
        <w:rPr>
          <w:rFonts w:ascii="仿宋_GB2312" w:eastAsia="仿宋_GB2312" w:hAnsi="宋体" w:hint="eastAsia"/>
          <w:sz w:val="32"/>
          <w:szCs w:val="32"/>
        </w:rPr>
        <w:t>年</w:t>
      </w:r>
      <w:r w:rsidR="000B3A8C">
        <w:rPr>
          <w:rFonts w:ascii="仿宋_GB2312" w:eastAsia="仿宋_GB2312" w:hAnsi="宋体" w:hint="eastAsia"/>
          <w:sz w:val="32"/>
          <w:szCs w:val="32"/>
        </w:rPr>
        <w:t>一</w:t>
      </w:r>
      <w:r>
        <w:rPr>
          <w:rFonts w:ascii="仿宋_GB2312" w:eastAsia="仿宋_GB2312" w:hAnsi="宋体" w:hint="eastAsia"/>
          <w:sz w:val="32"/>
          <w:szCs w:val="32"/>
        </w:rPr>
        <w:t xml:space="preserve">月 </w:t>
      </w:r>
    </w:p>
    <w:p w:rsidR="00C76403" w:rsidRDefault="00C76403">
      <w:pPr>
        <w:ind w:firstLineChars="200" w:firstLine="640"/>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C76403" w:rsidRDefault="00C76403">
      <w:pPr>
        <w:jc w:val="center"/>
        <w:rPr>
          <w:rFonts w:ascii="仿宋_GB2312" w:eastAsia="仿宋_GB2312" w:hAnsi="宋体"/>
          <w:sz w:val="32"/>
          <w:szCs w:val="32"/>
        </w:rPr>
      </w:pPr>
    </w:p>
    <w:p w:rsidR="005E13CA" w:rsidRDefault="005E13CA">
      <w:pPr>
        <w:jc w:val="center"/>
        <w:rPr>
          <w:rFonts w:ascii="仿宋_GB2312" w:eastAsia="仿宋_GB2312" w:hAnsi="宋体" w:hint="eastAsia"/>
          <w:sz w:val="32"/>
          <w:szCs w:val="32"/>
        </w:rPr>
      </w:pPr>
    </w:p>
    <w:p w:rsidR="00C76403" w:rsidRDefault="00C76403">
      <w:pPr>
        <w:jc w:val="center"/>
        <w:rPr>
          <w:rFonts w:ascii="仿宋_GB2312" w:eastAsia="仿宋_GB2312" w:hAnsi="宋体"/>
          <w:sz w:val="32"/>
          <w:szCs w:val="32"/>
        </w:rPr>
      </w:pPr>
    </w:p>
    <w:p w:rsidR="00C76403" w:rsidRDefault="00FB2BB0">
      <w:pPr>
        <w:jc w:val="center"/>
        <w:rPr>
          <w:rFonts w:ascii="仿宋_GB2312" w:eastAsia="仿宋_GB2312" w:hAnsi="宋体"/>
          <w:sz w:val="32"/>
          <w:szCs w:val="32"/>
        </w:rPr>
      </w:pPr>
      <w:r>
        <w:rPr>
          <w:rFonts w:ascii="仿宋_GB2312" w:eastAsia="仿宋_GB2312" w:hAnsi="宋体" w:hint="eastAsia"/>
          <w:sz w:val="32"/>
          <w:szCs w:val="32"/>
        </w:rPr>
        <w:lastRenderedPageBreak/>
        <w:t>参考文献</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hyperlink r:id="rId10" w:tgtFrame="https://kns.cnki.net/kcms2/article/_blank" w:history="1">
        <w:r>
          <w:rPr>
            <w:rFonts w:ascii="仿宋_GB2312" w:eastAsia="仿宋_GB2312" w:hAnsi="宋体"/>
            <w:sz w:val="28"/>
            <w:szCs w:val="28"/>
          </w:rPr>
          <w:t>方三平</w:t>
        </w:r>
      </w:hyperlink>
      <w:r>
        <w:rPr>
          <w:rFonts w:ascii="仿宋_GB2312" w:eastAsia="仿宋_GB2312" w:hAnsi="宋体" w:hint="eastAsia"/>
          <w:sz w:val="28"/>
          <w:szCs w:val="28"/>
        </w:rPr>
        <w:t>,</w:t>
      </w:r>
      <w:hyperlink r:id="rId11" w:tgtFrame="https://kns.cnki.net/kcms2/article/_blank" w:history="1">
        <w:proofErr w:type="gramStart"/>
        <w:r>
          <w:rPr>
            <w:rFonts w:ascii="仿宋_GB2312" w:eastAsia="仿宋_GB2312" w:hAnsi="宋体"/>
            <w:sz w:val="28"/>
            <w:szCs w:val="28"/>
          </w:rPr>
          <w:t>蒲彪</w:t>
        </w:r>
        <w:proofErr w:type="gramEnd"/>
      </w:hyperlink>
      <w:r>
        <w:rPr>
          <w:rFonts w:ascii="仿宋_GB2312" w:eastAsia="仿宋_GB2312" w:hAnsi="宋体" w:hint="eastAsia"/>
          <w:sz w:val="28"/>
          <w:szCs w:val="28"/>
        </w:rPr>
        <w:t>,</w:t>
      </w:r>
      <w:hyperlink r:id="rId12" w:tgtFrame="https://kns.cnki.net/kcms2/article/_blank" w:history="1">
        <w:proofErr w:type="gramStart"/>
        <w:r>
          <w:rPr>
            <w:rFonts w:ascii="仿宋_GB2312" w:eastAsia="仿宋_GB2312" w:hAnsi="宋体"/>
            <w:sz w:val="28"/>
            <w:szCs w:val="28"/>
          </w:rPr>
          <w:t>陈安均</w:t>
        </w:r>
        <w:proofErr w:type="gramEnd"/>
      </w:hyperlink>
      <w:r>
        <w:rPr>
          <w:rFonts w:ascii="仿宋_GB2312" w:eastAsia="仿宋_GB2312" w:hAnsi="宋体" w:hint="eastAsia"/>
          <w:sz w:val="28"/>
          <w:szCs w:val="28"/>
        </w:rPr>
        <w:t>,等.成熟度对印度块菌香气成分的影响.菌物学报. 2013</w:t>
      </w:r>
      <w:proofErr w:type="gramStart"/>
      <w:r>
        <w:rPr>
          <w:rFonts w:ascii="仿宋_GB2312" w:eastAsia="仿宋_GB2312" w:hAnsi="宋体" w:hint="eastAsia"/>
          <w:sz w:val="28"/>
          <w:szCs w:val="28"/>
        </w:rPr>
        <w:t>,32</w:t>
      </w:r>
      <w:proofErr w:type="gramEnd"/>
      <w:r>
        <w:rPr>
          <w:rFonts w:ascii="仿宋_GB2312" w:eastAsia="仿宋_GB2312" w:hAnsi="宋体" w:hint="eastAsia"/>
          <w:sz w:val="28"/>
          <w:szCs w:val="28"/>
        </w:rPr>
        <w:t>(06):1020-1027.</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CD/K/068:2010EAST AFRICAN STANDARD Fresh truffles — Specification and grading.</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GB/T 38697-2020 块菌（松露）鲜品质量等级规格.</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 xml:space="preserve">]ELENA S, SUCCI M, TIPALDI L, et al. Antimicrobial activity of </w:t>
      </w:r>
      <w:proofErr w:type="spellStart"/>
      <w:r>
        <w:rPr>
          <w:rFonts w:ascii="仿宋_GB2312" w:eastAsia="仿宋_GB2312" w:hAnsi="宋体"/>
          <w:sz w:val="28"/>
          <w:szCs w:val="28"/>
        </w:rPr>
        <w:t>gallic</w:t>
      </w:r>
      <w:proofErr w:type="spellEnd"/>
      <w:r>
        <w:rPr>
          <w:rFonts w:ascii="仿宋_GB2312" w:eastAsia="仿宋_GB2312" w:hAnsi="宋体"/>
          <w:sz w:val="28"/>
          <w:szCs w:val="28"/>
        </w:rPr>
        <w:t xml:space="preserve"> acid against food-related Pseudomonas strains and its use as </w:t>
      </w:r>
      <w:proofErr w:type="spellStart"/>
      <w:r>
        <w:rPr>
          <w:rFonts w:ascii="仿宋_GB2312" w:eastAsia="仿宋_GB2312" w:hAnsi="宋体"/>
          <w:sz w:val="28"/>
          <w:szCs w:val="28"/>
        </w:rPr>
        <w:t>biocontrol</w:t>
      </w:r>
      <w:proofErr w:type="spellEnd"/>
      <w:r>
        <w:rPr>
          <w:rFonts w:ascii="仿宋_GB2312" w:eastAsia="仿宋_GB2312" w:hAnsi="宋体"/>
          <w:sz w:val="28"/>
          <w:szCs w:val="28"/>
        </w:rPr>
        <w:t xml:space="preserve"> tool to improve the shelf life of fresh black </w:t>
      </w:r>
      <w:proofErr w:type="gramStart"/>
      <w:r>
        <w:rPr>
          <w:rFonts w:ascii="仿宋_GB2312" w:eastAsia="仿宋_GB2312" w:hAnsi="宋体"/>
          <w:sz w:val="28"/>
          <w:szCs w:val="28"/>
        </w:rPr>
        <w:t>truffles[</w:t>
      </w:r>
      <w:proofErr w:type="gramEnd"/>
      <w:r>
        <w:rPr>
          <w:rFonts w:ascii="仿宋_GB2312" w:eastAsia="仿宋_GB2312" w:hAnsi="宋体"/>
          <w:sz w:val="28"/>
          <w:szCs w:val="28"/>
        </w:rPr>
        <w:t>J]. International Journal of Food Microbiology, 2018</w:t>
      </w:r>
      <w:proofErr w:type="gramStart"/>
      <w:r>
        <w:rPr>
          <w:rFonts w:ascii="仿宋_GB2312" w:eastAsia="仿宋_GB2312" w:hAnsi="宋体"/>
          <w:sz w:val="28"/>
          <w:szCs w:val="28"/>
        </w:rPr>
        <w:t>,266:183</w:t>
      </w:r>
      <w:proofErr w:type="gramEnd"/>
      <w:r>
        <w:rPr>
          <w:rFonts w:ascii="仿宋_GB2312" w:eastAsia="仿宋_GB2312" w:hAnsi="宋体"/>
          <w:sz w:val="28"/>
          <w:szCs w:val="28"/>
        </w:rPr>
        <w:t>- 189.DOI:10.1016/j.ijfoodmicro.2017.11.026.</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 xml:space="preserve">]CHOO K, BOLLEN M, RAVENSDALE J T, et al. Effect of chitosan and gum Arabic with </w:t>
      </w:r>
      <w:proofErr w:type="spellStart"/>
      <w:r>
        <w:rPr>
          <w:rFonts w:ascii="仿宋_GB2312" w:eastAsia="仿宋_GB2312" w:hAnsi="宋体"/>
          <w:sz w:val="28"/>
          <w:szCs w:val="28"/>
        </w:rPr>
        <w:t>natamycin</w:t>
      </w:r>
      <w:proofErr w:type="spellEnd"/>
      <w:r>
        <w:rPr>
          <w:rFonts w:ascii="仿宋_GB2312" w:eastAsia="仿宋_GB2312" w:hAnsi="宋体"/>
          <w:sz w:val="28"/>
          <w:szCs w:val="28"/>
        </w:rPr>
        <w:t xml:space="preserve"> on the aroma profile and bacterial community of Australian grown black </w:t>
      </w:r>
      <w:proofErr w:type="spellStart"/>
      <w:r>
        <w:rPr>
          <w:rFonts w:ascii="仿宋_GB2312" w:eastAsia="仿宋_GB2312" w:hAnsi="宋体"/>
          <w:sz w:val="28"/>
          <w:szCs w:val="28"/>
        </w:rPr>
        <w:t>Perigord</w:t>
      </w:r>
      <w:proofErr w:type="spellEnd"/>
      <w:r>
        <w:rPr>
          <w:rFonts w:ascii="仿宋_GB2312" w:eastAsia="仿宋_GB2312" w:hAnsi="宋体"/>
          <w:sz w:val="28"/>
          <w:szCs w:val="28"/>
        </w:rPr>
        <w:t xml:space="preserve"> truffles (Tuber </w:t>
      </w:r>
      <w:proofErr w:type="spellStart"/>
      <w:r>
        <w:rPr>
          <w:rFonts w:ascii="仿宋_GB2312" w:eastAsia="仿宋_GB2312" w:hAnsi="宋体"/>
          <w:sz w:val="28"/>
          <w:szCs w:val="28"/>
        </w:rPr>
        <w:t>melansoporum</w:t>
      </w:r>
      <w:proofErr w:type="spellEnd"/>
      <w:r>
        <w:rPr>
          <w:rFonts w:ascii="仿宋_GB2312" w:eastAsia="仿宋_GB2312" w:hAnsi="宋体"/>
          <w:sz w:val="28"/>
          <w:szCs w:val="28"/>
        </w:rPr>
        <w:t xml:space="preserve">) during </w:t>
      </w:r>
      <w:proofErr w:type="gramStart"/>
      <w:r>
        <w:rPr>
          <w:rFonts w:ascii="仿宋_GB2312" w:eastAsia="仿宋_GB2312" w:hAnsi="宋体"/>
          <w:sz w:val="28"/>
          <w:szCs w:val="28"/>
        </w:rPr>
        <w:t>storage[</w:t>
      </w:r>
      <w:proofErr w:type="gramEnd"/>
      <w:r>
        <w:rPr>
          <w:rFonts w:ascii="仿宋_GB2312" w:eastAsia="仿宋_GB2312" w:hAnsi="宋体"/>
          <w:sz w:val="28"/>
          <w:szCs w:val="28"/>
        </w:rPr>
        <w:t xml:space="preserve">J]. Food </w:t>
      </w:r>
      <w:proofErr w:type="spellStart"/>
      <w:r>
        <w:rPr>
          <w:rFonts w:ascii="仿宋_GB2312" w:eastAsia="仿宋_GB2312" w:hAnsi="宋体"/>
          <w:sz w:val="28"/>
          <w:szCs w:val="28"/>
        </w:rPr>
        <w:t>Microbiol</w:t>
      </w:r>
      <w:proofErr w:type="spellEnd"/>
      <w:r>
        <w:rPr>
          <w:rFonts w:ascii="仿宋_GB2312" w:eastAsia="仿宋_GB2312" w:hAnsi="宋体"/>
          <w:sz w:val="28"/>
          <w:szCs w:val="28"/>
        </w:rPr>
        <w:t xml:space="preserve">, </w:t>
      </w:r>
    </w:p>
    <w:p w:rsidR="00C76403" w:rsidRDefault="00FB2BB0">
      <w:pPr>
        <w:rPr>
          <w:rFonts w:ascii="仿宋_GB2312" w:eastAsia="仿宋_GB2312" w:hAnsi="宋体"/>
          <w:sz w:val="28"/>
          <w:szCs w:val="28"/>
        </w:rPr>
      </w:pPr>
      <w:r>
        <w:rPr>
          <w:rFonts w:ascii="仿宋_GB2312" w:eastAsia="仿宋_GB2312" w:hAnsi="宋体"/>
          <w:sz w:val="28"/>
          <w:szCs w:val="28"/>
        </w:rPr>
        <w:t xml:space="preserve">2021,97:103743.DOI:10.1016/j.fm.2021.103743. </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6</w:t>
      </w:r>
      <w:r>
        <w:rPr>
          <w:rFonts w:ascii="仿宋_GB2312" w:eastAsia="仿宋_GB2312" w:hAnsi="宋体"/>
          <w:sz w:val="28"/>
          <w:szCs w:val="28"/>
        </w:rPr>
        <w:t>]SARA S, LONGO E, SERVILI A, et al. Hypobaric Packaging Prolongs the Shelf Life of Refrigerated Black Truffles (Tuber melanosporum)[J].Molecules,2020,25(17).DOI:10.3390/molecules25173837.</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7</w:t>
      </w:r>
      <w:r>
        <w:rPr>
          <w:rFonts w:ascii="仿宋_GB2312" w:eastAsia="仿宋_GB2312" w:hAnsi="宋体"/>
          <w:sz w:val="28"/>
          <w:szCs w:val="28"/>
        </w:rPr>
        <w:t>]</w:t>
      </w:r>
      <w:r>
        <w:rPr>
          <w:rFonts w:ascii="仿宋_GB2312" w:eastAsia="仿宋_GB2312" w:hAnsi="宋体" w:hint="eastAsia"/>
          <w:sz w:val="28"/>
          <w:szCs w:val="28"/>
        </w:rPr>
        <w:t>蒋方国，</w:t>
      </w:r>
      <w:r>
        <w:rPr>
          <w:rFonts w:ascii="仿宋_GB2312" w:eastAsia="仿宋_GB2312" w:hAnsi="宋体"/>
          <w:sz w:val="28"/>
          <w:szCs w:val="28"/>
        </w:rPr>
        <w:t>胡海洋</w:t>
      </w:r>
      <w:r>
        <w:rPr>
          <w:rFonts w:ascii="仿宋_GB2312" w:eastAsia="仿宋_GB2312" w:hAnsi="宋体" w:hint="eastAsia"/>
          <w:sz w:val="28"/>
          <w:szCs w:val="28"/>
        </w:rPr>
        <w:t>，</w:t>
      </w:r>
      <w:r>
        <w:rPr>
          <w:rFonts w:ascii="仿宋_GB2312" w:eastAsia="仿宋_GB2312" w:hAnsi="宋体"/>
          <w:sz w:val="28"/>
          <w:szCs w:val="28"/>
        </w:rPr>
        <w:t>龚晓源</w:t>
      </w:r>
      <w:r>
        <w:rPr>
          <w:rFonts w:ascii="仿宋_GB2312" w:eastAsia="仿宋_GB2312" w:hAnsi="宋体" w:hint="eastAsia"/>
          <w:sz w:val="28"/>
          <w:szCs w:val="28"/>
        </w:rPr>
        <w:t>，等.</w:t>
      </w:r>
      <w:r>
        <w:rPr>
          <w:rFonts w:ascii="仿宋_GB2312" w:eastAsia="仿宋_GB2312" w:hAnsi="宋体"/>
          <w:sz w:val="28"/>
          <w:szCs w:val="28"/>
        </w:rPr>
        <w:t>Ｏ２／ＣＯ２主动自发气调对采后松露贮藏品质及微观结构的影响</w:t>
      </w:r>
      <w:r>
        <w:rPr>
          <w:rFonts w:ascii="仿宋_GB2312" w:eastAsia="仿宋_GB2312" w:hAnsi="宋体" w:hint="eastAsia"/>
          <w:sz w:val="28"/>
          <w:szCs w:val="28"/>
        </w:rPr>
        <w:t>.食品与机械.2022,</w:t>
      </w:r>
      <w:r>
        <w:rPr>
          <w:rFonts w:ascii="仿宋_GB2312" w:eastAsia="仿宋_GB2312" w:hAnsi="宋体"/>
          <w:sz w:val="28"/>
          <w:szCs w:val="28"/>
        </w:rPr>
        <w:t>３８</w:t>
      </w:r>
      <w:r>
        <w:rPr>
          <w:rFonts w:ascii="仿宋_GB2312" w:eastAsia="仿宋_GB2312" w:hAnsi="宋体" w:hint="eastAsia"/>
          <w:sz w:val="28"/>
          <w:szCs w:val="28"/>
        </w:rPr>
        <w:lastRenderedPageBreak/>
        <w:t>（</w:t>
      </w:r>
      <w:r>
        <w:rPr>
          <w:rFonts w:ascii="仿宋_GB2312" w:eastAsia="仿宋_GB2312" w:hAnsi="宋体"/>
          <w:sz w:val="28"/>
          <w:szCs w:val="28"/>
        </w:rPr>
        <w:t>２</w:t>
      </w:r>
      <w:r>
        <w:rPr>
          <w:rFonts w:ascii="仿宋_GB2312" w:eastAsia="仿宋_GB2312" w:hAnsi="宋体" w:hint="eastAsia"/>
          <w:sz w:val="28"/>
          <w:szCs w:val="28"/>
        </w:rPr>
        <w:t>）:123-129.</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8</w:t>
      </w:r>
      <w:r>
        <w:rPr>
          <w:rFonts w:ascii="仿宋_GB2312" w:eastAsia="仿宋_GB2312" w:hAnsi="宋体"/>
          <w:sz w:val="28"/>
          <w:szCs w:val="28"/>
        </w:rPr>
        <w:t>]</w:t>
      </w:r>
      <w:r>
        <w:rPr>
          <w:rFonts w:ascii="仿宋_GB2312" w:eastAsia="仿宋_GB2312" w:hAnsi="宋体" w:hint="eastAsia"/>
          <w:sz w:val="28"/>
          <w:szCs w:val="28"/>
        </w:rPr>
        <w:t>黎琦，邹璐潞，马沁沁，等．酒精浸泡冷藏鲜印度块菌货架期评估、挥发性物质与细菌群落变化及其相关性</w:t>
      </w:r>
      <w:r>
        <w:rPr>
          <w:rFonts w:ascii="仿宋_GB2312" w:eastAsia="仿宋_GB2312" w:hAnsi="宋体"/>
          <w:sz w:val="28"/>
          <w:szCs w:val="28"/>
        </w:rPr>
        <w:t>[J/OL]</w:t>
      </w:r>
      <w:r>
        <w:rPr>
          <w:rFonts w:ascii="仿宋_GB2312" w:eastAsia="仿宋_GB2312" w:hAnsi="宋体" w:hint="eastAsia"/>
          <w:sz w:val="28"/>
          <w:szCs w:val="28"/>
        </w:rPr>
        <w:t>．食品科学</w:t>
      </w:r>
      <w:r>
        <w:rPr>
          <w:rFonts w:ascii="仿宋_GB2312" w:eastAsia="仿宋_GB2312" w:hAnsi="宋体"/>
          <w:sz w:val="28"/>
          <w:szCs w:val="28"/>
        </w:rPr>
        <w:t>. https://kns.cnki.net/kcms/detail/11.2206.ts.20220414.1154.052.html</w:t>
      </w:r>
      <w:r w:rsidR="00E95197">
        <w:rPr>
          <w:rFonts w:ascii="仿宋_GB2312" w:eastAsia="仿宋_GB2312" w:hAnsi="宋体"/>
          <w:sz w:val="28"/>
          <w:szCs w:val="28"/>
        </w:rPr>
        <w:t>.</w:t>
      </w:r>
    </w:p>
    <w:p w:rsidR="00C76403" w:rsidRDefault="00FB2BB0">
      <w:pPr>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9</w:t>
      </w:r>
      <w:r>
        <w:rPr>
          <w:rFonts w:ascii="仿宋_GB2312" w:eastAsia="仿宋_GB2312" w:hAnsi="宋体"/>
          <w:sz w:val="28"/>
          <w:szCs w:val="28"/>
        </w:rPr>
        <w:t>]</w:t>
      </w:r>
      <w:r>
        <w:rPr>
          <w:rFonts w:ascii="仿宋_GB2312" w:eastAsia="仿宋_GB2312" w:hAnsi="宋体" w:hint="eastAsia"/>
          <w:sz w:val="28"/>
          <w:szCs w:val="28"/>
        </w:rPr>
        <w:t>唐平,柳成益,杨梅,等.印度块菌冷库保鲜技术研究.食用菌. 2014(3):70-72.</w:t>
      </w:r>
    </w:p>
    <w:p w:rsidR="00C76403" w:rsidRDefault="00C76403">
      <w:pPr>
        <w:rPr>
          <w:rFonts w:ascii="仿宋_GB2312" w:eastAsia="仿宋_GB2312" w:hAnsi="宋体"/>
          <w:sz w:val="28"/>
          <w:szCs w:val="28"/>
        </w:rPr>
      </w:pPr>
    </w:p>
    <w:sectPr w:rsidR="00C76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5D" w:rsidRDefault="00125F5D">
      <w:r>
        <w:separator/>
      </w:r>
    </w:p>
  </w:endnote>
  <w:endnote w:type="continuationSeparator" w:id="0">
    <w:p w:rsidR="00125F5D" w:rsidRDefault="001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3" w:rsidRDefault="00FB2BB0">
    <w:pPr>
      <w:pStyle w:val="a9"/>
      <w:framePr w:wrap="around" w:vAnchor="text" w:hAnchor="margin" w:xAlign="center" w:y="1"/>
      <w:rPr>
        <w:rStyle w:val="ae"/>
      </w:rPr>
    </w:pPr>
    <w:r>
      <w:fldChar w:fldCharType="begin"/>
    </w:r>
    <w:r>
      <w:rPr>
        <w:rStyle w:val="ae"/>
      </w:rPr>
      <w:instrText xml:space="preserve">PAGE  </w:instrText>
    </w:r>
    <w:r>
      <w:fldChar w:fldCharType="end"/>
    </w:r>
  </w:p>
  <w:p w:rsidR="00C76403" w:rsidRDefault="00C764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03" w:rsidRDefault="00C76403">
    <w:pPr>
      <w:pStyle w:val="a9"/>
    </w:pPr>
  </w:p>
  <w:p w:rsidR="00C76403" w:rsidRDefault="00FB2BB0">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6403" w:rsidRDefault="00FB2BB0">
                          <w:pPr>
                            <w:pStyle w:val="a9"/>
                          </w:pPr>
                          <w:r>
                            <w:fldChar w:fldCharType="begin"/>
                          </w:r>
                          <w:r>
                            <w:instrText xml:space="preserve"> PAGE  \* MERGEFORMAT </w:instrText>
                          </w:r>
                          <w:r>
                            <w:fldChar w:fldCharType="separate"/>
                          </w:r>
                          <w:r w:rsidR="004947E4">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6403" w:rsidRDefault="00FB2BB0">
                    <w:pPr>
                      <w:pStyle w:val="a9"/>
                    </w:pPr>
                    <w:r>
                      <w:fldChar w:fldCharType="begin"/>
                    </w:r>
                    <w:r>
                      <w:instrText xml:space="preserve"> PAGE  \* MERGEFORMAT </w:instrText>
                    </w:r>
                    <w:r>
                      <w:fldChar w:fldCharType="separate"/>
                    </w:r>
                    <w:r w:rsidR="004947E4">
                      <w:rPr>
                        <w:noProof/>
                      </w:rP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5D" w:rsidRDefault="00125F5D">
      <w:r>
        <w:separator/>
      </w:r>
    </w:p>
  </w:footnote>
  <w:footnote w:type="continuationSeparator" w:id="0">
    <w:p w:rsidR="00125F5D" w:rsidRDefault="00125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pPr>
        <w:ind w:left="1277"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WJlMDg4ZDYzYjc5NjY3Y2M4ZWViYTI5OTljMzIifQ=="/>
  </w:docVars>
  <w:rsids>
    <w:rsidRoot w:val="00172A27"/>
    <w:rsid w:val="00006BD8"/>
    <w:rsid w:val="000B3A8C"/>
    <w:rsid w:val="00125F5D"/>
    <w:rsid w:val="00172A27"/>
    <w:rsid w:val="00374EDD"/>
    <w:rsid w:val="00394D8B"/>
    <w:rsid w:val="004947E4"/>
    <w:rsid w:val="004B539C"/>
    <w:rsid w:val="005E13CA"/>
    <w:rsid w:val="006338F8"/>
    <w:rsid w:val="007F22AF"/>
    <w:rsid w:val="00843FC7"/>
    <w:rsid w:val="00926A5A"/>
    <w:rsid w:val="009D00EF"/>
    <w:rsid w:val="009E4C76"/>
    <w:rsid w:val="00AC7865"/>
    <w:rsid w:val="00B54F5F"/>
    <w:rsid w:val="00B61FCC"/>
    <w:rsid w:val="00C62E29"/>
    <w:rsid w:val="00C76403"/>
    <w:rsid w:val="00CB20F3"/>
    <w:rsid w:val="00D76A87"/>
    <w:rsid w:val="00E95197"/>
    <w:rsid w:val="00FB2BB0"/>
    <w:rsid w:val="03E219EE"/>
    <w:rsid w:val="066E551E"/>
    <w:rsid w:val="06EC4DFB"/>
    <w:rsid w:val="071507D3"/>
    <w:rsid w:val="0BB84DE3"/>
    <w:rsid w:val="0C390F13"/>
    <w:rsid w:val="0D2A20A9"/>
    <w:rsid w:val="0D8A145B"/>
    <w:rsid w:val="0ED534D2"/>
    <w:rsid w:val="0F68480A"/>
    <w:rsid w:val="102175AB"/>
    <w:rsid w:val="112B3CDB"/>
    <w:rsid w:val="121218FA"/>
    <w:rsid w:val="17C214C3"/>
    <w:rsid w:val="1B353E7A"/>
    <w:rsid w:val="24BC50AA"/>
    <w:rsid w:val="2B626DED"/>
    <w:rsid w:val="300670B1"/>
    <w:rsid w:val="3417161D"/>
    <w:rsid w:val="376D31EB"/>
    <w:rsid w:val="38D8218D"/>
    <w:rsid w:val="421C1AFC"/>
    <w:rsid w:val="452048BB"/>
    <w:rsid w:val="452E2527"/>
    <w:rsid w:val="479C6D14"/>
    <w:rsid w:val="4ADC659B"/>
    <w:rsid w:val="4B023A86"/>
    <w:rsid w:val="4CF3569F"/>
    <w:rsid w:val="518E3E69"/>
    <w:rsid w:val="556A426A"/>
    <w:rsid w:val="556B45B4"/>
    <w:rsid w:val="56361958"/>
    <w:rsid w:val="56F2148D"/>
    <w:rsid w:val="58700FF3"/>
    <w:rsid w:val="58B97DCA"/>
    <w:rsid w:val="59970BF5"/>
    <w:rsid w:val="5E6F304E"/>
    <w:rsid w:val="60C46FCA"/>
    <w:rsid w:val="62AC5779"/>
    <w:rsid w:val="654143BD"/>
    <w:rsid w:val="67611F08"/>
    <w:rsid w:val="67B73F99"/>
    <w:rsid w:val="6A9D283D"/>
    <w:rsid w:val="6DE621BC"/>
    <w:rsid w:val="6FA81AB4"/>
    <w:rsid w:val="72B83626"/>
    <w:rsid w:val="799A2064"/>
    <w:rsid w:val="7BB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454CC-B2B5-4863-95D8-06653E3B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5"/>
    <w:next w:val="a5"/>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5"/>
    <w:next w:val="a5"/>
    <w:semiHidden/>
    <w:unhideWhenUsed/>
    <w:qFormat/>
    <w:pPr>
      <w:jc w:val="left"/>
      <w:outlineLvl w:val="2"/>
    </w:pPr>
    <w:rPr>
      <w:rFonts w:ascii="微软雅黑" w:eastAsia="微软雅黑" w:hAnsi="微软雅黑" w:cs="Times New Roman"/>
      <w:kern w:val="0"/>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uiPriority w:val="99"/>
    <w:unhideWhenUsed/>
    <w:qFormat/>
    <w:pPr>
      <w:tabs>
        <w:tab w:val="center" w:pos="4153"/>
        <w:tab w:val="right" w:pos="8306"/>
      </w:tabs>
      <w:snapToGrid w:val="0"/>
      <w:jc w:val="left"/>
    </w:pPr>
    <w:rPr>
      <w:sz w:val="18"/>
      <w:szCs w:val="18"/>
    </w:rPr>
  </w:style>
  <w:style w:type="paragraph" w:styleId="aa">
    <w:name w:val="header"/>
    <w:basedOn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5"/>
    <w:qFormat/>
    <w:pPr>
      <w:spacing w:beforeAutospacing="1" w:afterAutospacing="1"/>
      <w:jc w:val="left"/>
    </w:pPr>
    <w:rPr>
      <w:rFonts w:cs="Times New Roman"/>
      <w:kern w:val="0"/>
      <w:sz w:val="24"/>
    </w:rPr>
  </w:style>
  <w:style w:type="table" w:styleId="ac">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6"/>
    <w:qFormat/>
    <w:rPr>
      <w:b/>
      <w:bdr w:val="none" w:sz="0" w:space="0" w:color="auto"/>
    </w:rPr>
  </w:style>
  <w:style w:type="character" w:styleId="ae">
    <w:name w:val="page number"/>
    <w:basedOn w:val="a6"/>
    <w:qFormat/>
  </w:style>
  <w:style w:type="character" w:styleId="af">
    <w:name w:val="FollowedHyperlink"/>
    <w:basedOn w:val="a6"/>
    <w:qFormat/>
    <w:rPr>
      <w:color w:val="333333"/>
      <w:u w:val="none"/>
    </w:rPr>
  </w:style>
  <w:style w:type="character" w:styleId="af0">
    <w:name w:val="Emphasis"/>
    <w:basedOn w:val="a6"/>
    <w:qFormat/>
    <w:rPr>
      <w:bdr w:val="none" w:sz="0" w:space="0" w:color="auto"/>
    </w:rPr>
  </w:style>
  <w:style w:type="character" w:styleId="af1">
    <w:name w:val="Hyperlink"/>
    <w:basedOn w:val="a6"/>
    <w:qFormat/>
    <w:rPr>
      <w:color w:val="333333"/>
      <w:u w:val="none"/>
    </w:rPr>
  </w:style>
  <w:style w:type="paragraph" w:styleId="af2">
    <w:name w:val="List Paragraph"/>
    <w:basedOn w:val="a5"/>
    <w:uiPriority w:val="34"/>
    <w:qFormat/>
    <w:pPr>
      <w:ind w:firstLineChars="200" w:firstLine="420"/>
    </w:pPr>
  </w:style>
  <w:style w:type="character" w:customStyle="1" w:styleId="bzmc">
    <w:name w:val="bzmc"/>
    <w:basedOn w:val="a6"/>
    <w:qFormat/>
  </w:style>
  <w:style w:type="character" w:customStyle="1" w:styleId="bzmc1">
    <w:name w:val="bzmc1"/>
    <w:basedOn w:val="a6"/>
    <w:qFormat/>
  </w:style>
  <w:style w:type="character" w:customStyle="1" w:styleId="bzmc2">
    <w:name w:val="bzmc2"/>
    <w:basedOn w:val="a6"/>
    <w:qFormat/>
  </w:style>
  <w:style w:type="character" w:customStyle="1" w:styleId="fr">
    <w:name w:val="f_r"/>
    <w:basedOn w:val="a6"/>
    <w:qFormat/>
  </w:style>
  <w:style w:type="character" w:customStyle="1" w:styleId="sysj">
    <w:name w:val="sysj"/>
    <w:basedOn w:val="a6"/>
    <w:qFormat/>
  </w:style>
  <w:style w:type="character" w:customStyle="1" w:styleId="thisit">
    <w:name w:val="thisit"/>
    <w:basedOn w:val="a6"/>
    <w:qFormat/>
  </w:style>
  <w:style w:type="character" w:customStyle="1" w:styleId="bzrq2">
    <w:name w:val="bzrq2"/>
    <w:basedOn w:val="a6"/>
    <w:qFormat/>
  </w:style>
  <w:style w:type="character" w:customStyle="1" w:styleId="bsharetext">
    <w:name w:val="bsharetext"/>
    <w:basedOn w:val="a6"/>
    <w:qFormat/>
  </w:style>
  <w:style w:type="character" w:customStyle="1" w:styleId="fr6">
    <w:name w:val="f_r6"/>
    <w:basedOn w:val="a6"/>
    <w:qFormat/>
  </w:style>
  <w:style w:type="character" w:customStyle="1" w:styleId="bzrq">
    <w:name w:val="bzrq"/>
    <w:basedOn w:val="a6"/>
    <w:qFormat/>
  </w:style>
  <w:style w:type="paragraph" w:customStyle="1" w:styleId="af3">
    <w:name w:val="标准文件_段"/>
    <w:qFormat/>
    <w:pPr>
      <w:autoSpaceDE w:val="0"/>
      <w:autoSpaceDN w:val="0"/>
      <w:ind w:firstLineChars="200" w:firstLine="200"/>
      <w:jc w:val="both"/>
    </w:pPr>
    <w:rPr>
      <w:rFonts w:ascii="宋体"/>
      <w:sz w:val="21"/>
    </w:rPr>
  </w:style>
  <w:style w:type="paragraph" w:customStyle="1" w:styleId="Af4">
    <w:name w:val="正文 A"/>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u w:color="000000"/>
    </w:rPr>
  </w:style>
  <w:style w:type="paragraph" w:customStyle="1" w:styleId="CharChar">
    <w:name w:val="段 Char Char"/>
    <w:qFormat/>
    <w:pPr>
      <w:autoSpaceDE w:val="0"/>
      <w:autoSpaceDN w:val="0"/>
      <w:ind w:firstLineChars="200" w:firstLine="200"/>
      <w:jc w:val="both"/>
    </w:pPr>
    <w:rPr>
      <w:rFonts w:ascii="Century Gothic" w:hAnsi="Courier New"/>
      <w:kern w:val="2"/>
      <w:sz w:val="21"/>
      <w:szCs w:val="24"/>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f5"/>
    <w:qFormat/>
    <w:pPr>
      <w:numPr>
        <w:numId w:val="1"/>
      </w:numPr>
      <w:spacing w:beforeLines="100" w:before="312" w:afterLines="100" w:after="312"/>
      <w:jc w:val="both"/>
      <w:outlineLvl w:val="1"/>
    </w:pPr>
    <w:rPr>
      <w:rFonts w:ascii="黑体" w:eastAsia="黑体"/>
      <w:sz w:val="21"/>
    </w:rPr>
  </w:style>
  <w:style w:type="paragraph" w:customStyle="1" w:styleId="a3">
    <w:name w:val="列项——（一级）"/>
    <w:qFormat/>
    <w:pPr>
      <w:widowControl w:val="0"/>
      <w:numPr>
        <w:numId w:val="2"/>
      </w:numPr>
      <w:jc w:val="both"/>
    </w:pPr>
    <w:rPr>
      <w:rFonts w:ascii="宋体"/>
      <w:sz w:val="21"/>
    </w:rPr>
  </w:style>
  <w:style w:type="paragraph" w:customStyle="1" w:styleId="a1">
    <w:name w:val="二级条标题"/>
    <w:basedOn w:val="a0"/>
    <w:next w:val="af5"/>
    <w:qFormat/>
    <w:pPr>
      <w:numPr>
        <w:ilvl w:val="2"/>
      </w:numPr>
      <w:spacing w:before="50" w:after="50"/>
      <w:ind w:left="0"/>
      <w:outlineLvl w:val="3"/>
    </w:pPr>
  </w:style>
  <w:style w:type="paragraph" w:customStyle="1" w:styleId="a0">
    <w:name w:val="一级条标题"/>
    <w:next w:val="af5"/>
    <w:qFormat/>
    <w:pPr>
      <w:numPr>
        <w:ilvl w:val="1"/>
        <w:numId w:val="1"/>
      </w:numPr>
      <w:spacing w:beforeLines="50" w:before="156" w:afterLines="50" w:after="156"/>
      <w:outlineLvl w:val="2"/>
    </w:pPr>
    <w:rPr>
      <w:rFonts w:ascii="黑体" w:eastAsia="黑体"/>
      <w:sz w:val="21"/>
      <w:szCs w:val="21"/>
    </w:rPr>
  </w:style>
  <w:style w:type="paragraph" w:customStyle="1" w:styleId="a4">
    <w:name w:val="正文表标题"/>
    <w:next w:val="af5"/>
    <w:qFormat/>
    <w:pPr>
      <w:numPr>
        <w:numId w:val="3"/>
      </w:numPr>
      <w:tabs>
        <w:tab w:val="left" w:pos="360"/>
      </w:tabs>
      <w:spacing w:beforeLines="50" w:before="156" w:afterLines="50" w:after="156"/>
      <w:jc w:val="center"/>
    </w:pPr>
    <w:rPr>
      <w:rFonts w:ascii="黑体" w:eastAsia="黑体"/>
      <w:sz w:val="21"/>
    </w:rPr>
  </w:style>
  <w:style w:type="paragraph" w:customStyle="1" w:styleId="10">
    <w:name w:val="正文1"/>
    <w:qFormat/>
    <w:pPr>
      <w:jc w:val="both"/>
    </w:pPr>
    <w:rPr>
      <w:kern w:val="2"/>
      <w:sz w:val="21"/>
      <w:szCs w:val="21"/>
    </w:rPr>
  </w:style>
  <w:style w:type="paragraph" w:customStyle="1" w:styleId="a2">
    <w:name w:val="三级条标题"/>
    <w:basedOn w:val="a1"/>
    <w:next w:val="af5"/>
    <w:qFormat/>
    <w:pPr>
      <w:numPr>
        <w:ilvl w:val="3"/>
      </w:numPr>
      <w:outlineLvl w:val="4"/>
    </w:pPr>
  </w:style>
  <w:style w:type="character" w:customStyle="1" w:styleId="first-child">
    <w:name w:val="first-child"/>
    <w:basedOn w:val="a6"/>
    <w:rPr>
      <w:bdr w:val="none" w:sz="0" w:space="0" w:color="auto"/>
    </w:rPr>
  </w:style>
  <w:style w:type="character" w:customStyle="1" w:styleId="spanleft">
    <w:name w:val="spanleft"/>
    <w:basedOn w:val="a6"/>
  </w:style>
  <w:style w:type="character" w:customStyle="1" w:styleId="hover67">
    <w:name w:val="hover67"/>
    <w:basedOn w:val="a6"/>
    <w:rPr>
      <w:color w:val="53A2E4"/>
    </w:rPr>
  </w:style>
  <w:style w:type="character" w:customStyle="1" w:styleId="layui-this">
    <w:name w:val="layui-this"/>
    <w:basedOn w:val="a6"/>
    <w:rPr>
      <w:bdr w:val="single" w:sz="4" w:space="0" w:color="EEEEEE"/>
      <w:shd w:val="clear" w:color="auto" w:fill="FFFFFF"/>
    </w:rPr>
  </w:style>
  <w:style w:type="character" w:customStyle="1" w:styleId="qqloginlogo">
    <w:name w:val="qq_login_logo"/>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s.cnki.net/kcms2/author/detail?v=PszfdZoZIYadsi_4J7I-i8KpyPJ6ZVo9A-sEm76Oh5m8J1tv2bj4on_o_Myluyf42-85j_cBGNDNarVLP2L7HHMYl7GJD1amXlJeav_sbiE=&amp;uniplatform=NZK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s.cnki.net/kcms2/author/detail?v=PszfdZoZIYadsi_4J7I-i8KpyPJ6ZVo9v7-5qmQCjZDxvb3DMYPsMz99sUtQSsy6NhXGdLhooqhhGolOs8LJqUsMmefMIiZ55n2btqbTsl0=&amp;uniplatform=NZKPT" TargetMode="External"/><Relationship Id="rId5" Type="http://schemas.openxmlformats.org/officeDocument/2006/relationships/webSettings" Target="webSettings.xml"/><Relationship Id="rId10" Type="http://schemas.openxmlformats.org/officeDocument/2006/relationships/hyperlink" Target="https://kns.cnki.net/kcms2/author/detail?v=PszfdZoZIYadsi_4J7I-i8KpyPJ6ZVo9VE100qVxz1mFXPtGlzrr4DnvU5FtnySDCxVjbLsSe06gVm7367y3T2_WRCTDxgyDetAq2kIFdFk=&amp;uniplatform=NZKP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7483</Words>
  <Characters>9055</Characters>
  <Application>Microsoft Office Word</Application>
  <DocSecurity>0</DocSecurity>
  <Lines>1293</Lines>
  <Paragraphs>1272</Paragraphs>
  <ScaleCrop>false</ScaleCrop>
  <Company>神州网信技术有限公司</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产业服务中心</cp:lastModifiedBy>
  <cp:revision>20</cp:revision>
  <cp:lastPrinted>2022-07-04T08:29:00Z</cp:lastPrinted>
  <dcterms:created xsi:type="dcterms:W3CDTF">2014-10-29T12:08:00Z</dcterms:created>
  <dcterms:modified xsi:type="dcterms:W3CDTF">2023-01-31T09:06:00Z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4255467500594925AACCB6749D02FD92</vt:lpwstr>
  </property>
</Properties>
</file>